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371" w:rsidRPr="00946371" w:rsidRDefault="00946371" w:rsidP="0094637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D6FC2" w:rsidRPr="00946371" w:rsidRDefault="003D6FC2" w:rsidP="0094637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63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Богдан </w:t>
      </w:r>
      <w:r w:rsidR="000A7E3C" w:rsidRPr="00946371">
        <w:rPr>
          <w:rFonts w:ascii="Times New Roman" w:hAnsi="Times New Roman" w:cs="Times New Roman"/>
          <w:b/>
          <w:sz w:val="28"/>
          <w:szCs w:val="28"/>
          <w:lang w:val="uk-UA"/>
        </w:rPr>
        <w:t>Деревянко</w:t>
      </w:r>
      <w:r w:rsidRPr="00946371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</w:p>
    <w:p w:rsidR="00856144" w:rsidRPr="00946371" w:rsidRDefault="007763BD" w:rsidP="00946371">
      <w:pPr>
        <w:tabs>
          <w:tab w:val="left" w:pos="360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46371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провідний науковий співробітник </w:t>
      </w:r>
      <w:r w:rsidR="00856144" w:rsidRPr="00946371">
        <w:rPr>
          <w:rFonts w:ascii="Times New Roman" w:hAnsi="Times New Roman" w:cs="Times New Roman"/>
          <w:i/>
          <w:sz w:val="28"/>
          <w:szCs w:val="28"/>
          <w:lang w:val="uk-UA"/>
        </w:rPr>
        <w:t>Науково-дослідного інституту</w:t>
      </w:r>
    </w:p>
    <w:p w:rsidR="00856144" w:rsidRPr="00946371" w:rsidRDefault="00856144" w:rsidP="00946371">
      <w:pPr>
        <w:tabs>
          <w:tab w:val="left" w:pos="360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46371">
        <w:rPr>
          <w:rFonts w:ascii="Times New Roman" w:hAnsi="Times New Roman" w:cs="Times New Roman"/>
          <w:i/>
          <w:sz w:val="28"/>
          <w:szCs w:val="28"/>
          <w:lang w:val="uk-UA"/>
        </w:rPr>
        <w:t>приватного права і підприємництва імені академіка Ф.Г. Бурчака</w:t>
      </w:r>
    </w:p>
    <w:p w:rsidR="001C553C" w:rsidRPr="00946371" w:rsidRDefault="00856144" w:rsidP="00946371">
      <w:pPr>
        <w:tabs>
          <w:tab w:val="left" w:pos="360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46371">
        <w:rPr>
          <w:rFonts w:ascii="Times New Roman" w:hAnsi="Times New Roman" w:cs="Times New Roman"/>
          <w:i/>
          <w:sz w:val="28"/>
          <w:szCs w:val="28"/>
          <w:lang w:val="uk-UA"/>
        </w:rPr>
        <w:t>Національної академії правових наук України</w:t>
      </w:r>
      <w:r w:rsidR="001C553C" w:rsidRPr="00946371">
        <w:rPr>
          <w:rFonts w:ascii="Times New Roman" w:hAnsi="Times New Roman" w:cs="Times New Roman"/>
          <w:i/>
          <w:iCs/>
          <w:sz w:val="28"/>
          <w:szCs w:val="28"/>
          <w:lang w:val="uk-UA"/>
        </w:rPr>
        <w:t>, д.ю.н., професор</w:t>
      </w:r>
    </w:p>
    <w:p w:rsidR="007763BD" w:rsidRPr="00946371" w:rsidRDefault="007763BD" w:rsidP="00946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6371" w:rsidRPr="00946371" w:rsidRDefault="00946371" w:rsidP="00946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0F32" w:rsidRPr="00946371" w:rsidRDefault="000A7E3C" w:rsidP="0094637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946371">
        <w:rPr>
          <w:rFonts w:ascii="Times New Roman" w:hAnsi="Times New Roman" w:cs="Times New Roman"/>
          <w:b/>
          <w:caps/>
          <w:sz w:val="28"/>
          <w:szCs w:val="28"/>
          <w:lang w:val="uk-UA"/>
        </w:rPr>
        <w:t>ПР</w:t>
      </w:r>
      <w:r w:rsidR="00A71197" w:rsidRPr="00946371">
        <w:rPr>
          <w:rFonts w:ascii="Times New Roman" w:hAnsi="Times New Roman" w:cs="Times New Roman"/>
          <w:b/>
          <w:caps/>
          <w:sz w:val="28"/>
          <w:szCs w:val="28"/>
          <w:lang w:val="uk-UA"/>
        </w:rPr>
        <w:t>о вибірковий захист прав громадян</w:t>
      </w:r>
    </w:p>
    <w:p w:rsidR="00C90F32" w:rsidRPr="00946371" w:rsidRDefault="00C90F32" w:rsidP="0094637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946371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і </w:t>
      </w:r>
      <w:r w:rsidR="00856144" w:rsidRPr="00946371">
        <w:rPr>
          <w:rFonts w:ascii="Times New Roman" w:hAnsi="Times New Roman" w:cs="Times New Roman"/>
          <w:b/>
          <w:caps/>
          <w:sz w:val="28"/>
          <w:szCs w:val="28"/>
          <w:lang w:val="uk-UA"/>
        </w:rPr>
        <w:t>загрози суспільному благополуччЮ</w:t>
      </w:r>
    </w:p>
    <w:p w:rsidR="00FB0E98" w:rsidRPr="00946371" w:rsidRDefault="000A7E3C" w:rsidP="0094637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946371">
        <w:rPr>
          <w:rFonts w:ascii="Times New Roman" w:hAnsi="Times New Roman" w:cs="Times New Roman"/>
          <w:b/>
          <w:caps/>
          <w:sz w:val="28"/>
          <w:szCs w:val="28"/>
          <w:lang w:val="uk-UA"/>
        </w:rPr>
        <w:t>В УМОВАХ ВОЄННОГО СТАНУ</w:t>
      </w:r>
    </w:p>
    <w:p w:rsidR="00A71197" w:rsidRPr="00946371" w:rsidRDefault="00A71197" w:rsidP="00946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6371" w:rsidRPr="00946371" w:rsidRDefault="00946371" w:rsidP="00946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1197" w:rsidRPr="00946371" w:rsidRDefault="00A71197" w:rsidP="00946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371">
        <w:rPr>
          <w:rFonts w:ascii="Times New Roman" w:hAnsi="Times New Roman" w:cs="Times New Roman"/>
          <w:sz w:val="28"/>
          <w:szCs w:val="28"/>
          <w:lang w:val="uk-UA"/>
        </w:rPr>
        <w:t xml:space="preserve">10 грудня 1948 року було </w:t>
      </w:r>
      <w:r w:rsidR="0028560A" w:rsidRPr="00946371">
        <w:rPr>
          <w:rFonts w:ascii="Times New Roman" w:hAnsi="Times New Roman" w:cs="Times New Roman"/>
          <w:sz w:val="28"/>
          <w:szCs w:val="28"/>
          <w:lang w:val="uk-UA"/>
        </w:rPr>
        <w:t>прийнято Загальну декларацію прав людини ООН</w:t>
      </w:r>
      <w:r w:rsidR="00FC12B6" w:rsidRPr="00946371">
        <w:rPr>
          <w:rFonts w:ascii="Times New Roman" w:hAnsi="Times New Roman" w:cs="Times New Roman"/>
          <w:sz w:val="28"/>
          <w:szCs w:val="28"/>
          <w:lang w:val="uk-UA"/>
        </w:rPr>
        <w:t xml:space="preserve"> [1]</w:t>
      </w:r>
      <w:r w:rsidR="0028560A" w:rsidRPr="00946371">
        <w:rPr>
          <w:rFonts w:ascii="Times New Roman" w:hAnsi="Times New Roman" w:cs="Times New Roman"/>
          <w:sz w:val="28"/>
          <w:szCs w:val="28"/>
          <w:lang w:val="uk-UA"/>
        </w:rPr>
        <w:t xml:space="preserve">, чергові річниці якої щорічно святкують проведенням наукових і політичних заходів у багатьох країнах світу. </w:t>
      </w:r>
      <w:r w:rsidR="00AE4F41" w:rsidRPr="00946371">
        <w:rPr>
          <w:rFonts w:ascii="Times New Roman" w:hAnsi="Times New Roman" w:cs="Times New Roman"/>
          <w:sz w:val="28"/>
          <w:szCs w:val="28"/>
          <w:lang w:val="uk-UA"/>
        </w:rPr>
        <w:t xml:space="preserve">Проте у сьогоднішніх реаліях навряд чи можна говорити про </w:t>
      </w:r>
      <w:r w:rsidR="00AD43CC" w:rsidRPr="00946371">
        <w:rPr>
          <w:rFonts w:ascii="Times New Roman" w:hAnsi="Times New Roman" w:cs="Times New Roman"/>
          <w:sz w:val="28"/>
          <w:szCs w:val="28"/>
          <w:lang w:val="uk-UA"/>
        </w:rPr>
        <w:t>пов</w:t>
      </w:r>
      <w:r w:rsidR="00AE4F41" w:rsidRPr="00946371">
        <w:rPr>
          <w:rFonts w:ascii="Times New Roman" w:hAnsi="Times New Roman" w:cs="Times New Roman"/>
          <w:sz w:val="28"/>
          <w:szCs w:val="28"/>
          <w:lang w:val="uk-UA"/>
        </w:rPr>
        <w:t xml:space="preserve">не дотримання і захист прав людини. </w:t>
      </w:r>
      <w:r w:rsidR="00AD43CC" w:rsidRPr="00946371">
        <w:rPr>
          <w:rFonts w:ascii="Times New Roman" w:hAnsi="Times New Roman" w:cs="Times New Roman"/>
          <w:sz w:val="28"/>
          <w:szCs w:val="28"/>
          <w:lang w:val="uk-UA"/>
        </w:rPr>
        <w:t>Навпаки. М</w:t>
      </w:r>
      <w:r w:rsidR="00670C65" w:rsidRPr="00946371">
        <w:rPr>
          <w:rFonts w:ascii="Times New Roman" w:hAnsi="Times New Roman" w:cs="Times New Roman"/>
          <w:sz w:val="28"/>
          <w:szCs w:val="28"/>
          <w:lang w:val="uk-UA"/>
        </w:rPr>
        <w:t xml:space="preserve">ожна говорити про неефективність самої ООН, яка не може протидіяти світовим </w:t>
      </w:r>
      <w:r w:rsidR="003741BA" w:rsidRPr="00946371">
        <w:rPr>
          <w:rFonts w:ascii="Times New Roman" w:hAnsi="Times New Roman" w:cs="Times New Roman"/>
          <w:sz w:val="28"/>
          <w:szCs w:val="28"/>
          <w:lang w:val="uk-UA"/>
        </w:rPr>
        <w:t>автократія</w:t>
      </w:r>
      <w:r w:rsidR="00670C65" w:rsidRPr="00946371">
        <w:rPr>
          <w:rFonts w:ascii="Times New Roman" w:hAnsi="Times New Roman" w:cs="Times New Roman"/>
          <w:sz w:val="28"/>
          <w:szCs w:val="28"/>
          <w:lang w:val="uk-UA"/>
        </w:rPr>
        <w:t xml:space="preserve">м, про відсутність реальних санкцій проти порушників міжнародних конвенцій, про </w:t>
      </w:r>
      <w:r w:rsidR="00AD43CC" w:rsidRPr="00946371">
        <w:rPr>
          <w:rFonts w:ascii="Times New Roman" w:hAnsi="Times New Roman" w:cs="Times New Roman"/>
          <w:sz w:val="28"/>
          <w:szCs w:val="28"/>
          <w:lang w:val="uk-UA"/>
        </w:rPr>
        <w:t>можлив</w:t>
      </w:r>
      <w:r w:rsidR="00670C65" w:rsidRPr="00946371">
        <w:rPr>
          <w:rFonts w:ascii="Times New Roman" w:hAnsi="Times New Roman" w:cs="Times New Roman"/>
          <w:sz w:val="28"/>
          <w:szCs w:val="28"/>
          <w:lang w:val="uk-UA"/>
        </w:rPr>
        <w:t>ість захисту своєї незалежності невеликими державами лише наявністю у них зброї масового знищення та ін. П</w:t>
      </w:r>
      <w:r w:rsidR="00AD43CC" w:rsidRPr="00946371">
        <w:rPr>
          <w:rFonts w:ascii="Times New Roman" w:hAnsi="Times New Roman" w:cs="Times New Roman"/>
          <w:sz w:val="28"/>
          <w:szCs w:val="28"/>
          <w:lang w:val="uk-UA"/>
        </w:rPr>
        <w:t>іднімемо лише окремі проблеми стосовно</w:t>
      </w:r>
      <w:r w:rsidR="00670C65" w:rsidRPr="00946371">
        <w:rPr>
          <w:rFonts w:ascii="Times New Roman" w:hAnsi="Times New Roman" w:cs="Times New Roman"/>
          <w:sz w:val="28"/>
          <w:szCs w:val="28"/>
          <w:lang w:val="uk-UA"/>
        </w:rPr>
        <w:t xml:space="preserve"> справедливості фінансового забезпечення людей за фаховою ознакою у межах окремо взятої країни.</w:t>
      </w:r>
    </w:p>
    <w:p w:rsidR="00EB330B" w:rsidRPr="00946371" w:rsidRDefault="00956026" w:rsidP="00946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6371">
        <w:rPr>
          <w:rFonts w:ascii="Times New Roman" w:hAnsi="Times New Roman" w:cs="Times New Roman"/>
          <w:sz w:val="28"/>
          <w:szCs w:val="28"/>
          <w:lang w:val="uk-UA"/>
        </w:rPr>
        <w:t xml:space="preserve">В умовах дії правового режиму воєнного стану в Україні, </w:t>
      </w:r>
      <w:r w:rsidR="004737D7" w:rsidRPr="00946371">
        <w:rPr>
          <w:rFonts w:ascii="Times New Roman" w:hAnsi="Times New Roman" w:cs="Times New Roman"/>
          <w:sz w:val="28"/>
          <w:szCs w:val="28"/>
          <w:lang w:val="uk-UA"/>
        </w:rPr>
        <w:t>введеного відповідним Указом Президента України [</w:t>
      </w:r>
      <w:r w:rsidR="00FC12B6" w:rsidRPr="0094637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737D7" w:rsidRPr="00946371">
        <w:rPr>
          <w:rFonts w:ascii="Times New Roman" w:hAnsi="Times New Roman" w:cs="Times New Roman"/>
          <w:sz w:val="28"/>
          <w:szCs w:val="28"/>
          <w:lang w:val="uk-UA"/>
        </w:rPr>
        <w:t>] і затвердженого Законом України 24 лютого 2022 року [</w:t>
      </w:r>
      <w:r w:rsidR="00FC12B6" w:rsidRPr="0094637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737D7" w:rsidRPr="00946371">
        <w:rPr>
          <w:rFonts w:ascii="Times New Roman" w:hAnsi="Times New Roman" w:cs="Times New Roman"/>
          <w:sz w:val="28"/>
          <w:szCs w:val="28"/>
          <w:lang w:val="uk-UA"/>
        </w:rPr>
        <w:t>], усі громадяни України незалежно від статі, віку, національності, мі</w:t>
      </w:r>
      <w:r w:rsidR="00AD43CC" w:rsidRPr="00946371">
        <w:rPr>
          <w:rFonts w:ascii="Times New Roman" w:hAnsi="Times New Roman" w:cs="Times New Roman"/>
          <w:sz w:val="28"/>
          <w:szCs w:val="28"/>
          <w:lang w:val="uk-UA"/>
        </w:rPr>
        <w:t>сця проживання і місця роботи чи</w:t>
      </w:r>
      <w:r w:rsidR="004737D7" w:rsidRPr="00946371">
        <w:rPr>
          <w:rFonts w:ascii="Times New Roman" w:hAnsi="Times New Roman" w:cs="Times New Roman"/>
          <w:sz w:val="28"/>
          <w:szCs w:val="28"/>
          <w:lang w:val="uk-UA"/>
        </w:rPr>
        <w:t xml:space="preserve"> професійного фаху </w:t>
      </w:r>
      <w:r w:rsidR="00AD43CC" w:rsidRPr="00946371">
        <w:rPr>
          <w:rFonts w:ascii="Times New Roman" w:hAnsi="Times New Roman" w:cs="Times New Roman"/>
          <w:sz w:val="28"/>
          <w:szCs w:val="28"/>
          <w:lang w:val="uk-UA"/>
        </w:rPr>
        <w:t>у більшій або</w:t>
      </w:r>
      <w:r w:rsidR="004737D7" w:rsidRPr="00946371">
        <w:rPr>
          <w:rFonts w:ascii="Times New Roman" w:hAnsi="Times New Roman" w:cs="Times New Roman"/>
          <w:sz w:val="28"/>
          <w:szCs w:val="28"/>
          <w:lang w:val="uk-UA"/>
        </w:rPr>
        <w:t xml:space="preserve"> меншій мірі відчувають обмеження своїх прав. Тому сьогодні державної підтримки, зокрема і фінансової, потребують усі громадяни України. Найкращим способом державної підтримки є забезпечення справедливої оплати праці</w:t>
      </w:r>
      <w:r w:rsidR="00AD43CC" w:rsidRPr="00946371">
        <w:rPr>
          <w:rFonts w:ascii="Times New Roman" w:hAnsi="Times New Roman" w:cs="Times New Roman"/>
          <w:sz w:val="28"/>
          <w:szCs w:val="28"/>
          <w:lang w:val="uk-UA"/>
        </w:rPr>
        <w:t xml:space="preserve"> тих, хто працює в умовах війни</w:t>
      </w:r>
      <w:r w:rsidR="004737D7" w:rsidRPr="0094637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239AB" w:rsidRPr="00946371">
        <w:rPr>
          <w:rFonts w:ascii="Times New Roman" w:hAnsi="Times New Roman" w:cs="Times New Roman"/>
          <w:sz w:val="28"/>
          <w:szCs w:val="28"/>
          <w:lang w:val="uk-UA"/>
        </w:rPr>
        <w:t xml:space="preserve"> Нами кілька разів піднімалася проблема неоднакового застосування норм про оплату праці залежно від професійної ознаки людей. Зокрема вказувалося, що </w:t>
      </w:r>
      <w:r w:rsidR="003741BA" w:rsidRPr="00946371">
        <w:rPr>
          <w:rFonts w:ascii="Times New Roman" w:hAnsi="Times New Roman" w:cs="Times New Roman"/>
          <w:sz w:val="28"/>
          <w:szCs w:val="28"/>
          <w:lang w:val="uk-UA"/>
        </w:rPr>
        <w:t>положення</w:t>
      </w:r>
      <w:r w:rsidR="00F239AB" w:rsidRPr="00946371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="003741BA" w:rsidRPr="00946371">
        <w:rPr>
          <w:rFonts w:ascii="Times New Roman" w:hAnsi="Times New Roman" w:cs="Times New Roman"/>
          <w:sz w:val="28"/>
          <w:szCs w:val="28"/>
          <w:lang w:val="uk-UA"/>
        </w:rPr>
        <w:t xml:space="preserve"> достойну оплату праці, визнач</w:t>
      </w:r>
      <w:r w:rsidR="00F239AB" w:rsidRPr="00946371">
        <w:rPr>
          <w:rFonts w:ascii="Times New Roman" w:hAnsi="Times New Roman" w:cs="Times New Roman"/>
          <w:sz w:val="28"/>
          <w:szCs w:val="28"/>
          <w:lang w:val="uk-UA"/>
        </w:rPr>
        <w:t xml:space="preserve">ені </w:t>
      </w:r>
      <w:r w:rsidR="001E57E4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>нормою частини другої</w:t>
      </w:r>
      <w:r w:rsidR="00F239AB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E57E4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>статті</w:t>
      </w:r>
      <w:r w:rsidR="00F239AB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61 Закону України «Про освіту»</w:t>
      </w:r>
      <w:r w:rsidR="001E57E4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[</w:t>
      </w:r>
      <w:r w:rsidR="00FC12B6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1E57E4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>] і нормою</w:t>
      </w:r>
      <w:r w:rsidR="00F239AB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</w:t>
      </w:r>
      <w:r w:rsidR="001E57E4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>абзацу</w:t>
      </w:r>
      <w:r w:rsidR="00F239AB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 </w:t>
      </w:r>
      <w:r w:rsidR="001E57E4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>частини другої</w:t>
      </w:r>
      <w:r w:rsidR="00F239AB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E57E4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>статті 36</w:t>
      </w:r>
      <w:r w:rsidR="00F239AB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Закону України «Про наукову і науково-технічну діяльність»</w:t>
      </w:r>
      <w:r w:rsidR="001E57E4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[</w:t>
      </w:r>
      <w:r w:rsidR="00FC12B6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1E57E4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>]</w:t>
      </w:r>
      <w:r w:rsidR="003741BA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1E57E4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діють </w:t>
      </w:r>
      <w:r w:rsidR="002157D6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через відкладення набуття ними чинності законодавцем. Внаслідок цього </w:t>
      </w:r>
      <w:r w:rsidR="003741BA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>розміри фактичної оплати</w:t>
      </w:r>
      <w:r w:rsidR="002157D6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праці викладачів і науковців є у д</w:t>
      </w:r>
      <w:r w:rsidR="003741BA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>екілька разів нижчими</w:t>
      </w:r>
      <w:r w:rsidR="002157D6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>, ніж визначено цими нормами [</w:t>
      </w:r>
      <w:r w:rsidR="00FC12B6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2157D6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]. І одночасно вказувалося, що </w:t>
      </w:r>
      <w:r w:rsidR="00AD43CC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положення норми з </w:t>
      </w:r>
      <w:r w:rsidR="002157D6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>абзацу</w:t>
      </w:r>
      <w:r w:rsidR="00BA148D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</w:t>
      </w:r>
      <w:r w:rsidR="002157D6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частини четвертої</w:t>
      </w:r>
      <w:r w:rsidR="00625489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157D6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>статті 20</w:t>
      </w:r>
      <w:r w:rsidR="00625489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Закону </w:t>
      </w:r>
      <w:r w:rsidR="00625489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України «Про Державне бюро розслідувань»</w:t>
      </w:r>
      <w:r w:rsidR="002157D6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[</w:t>
      </w:r>
      <w:r w:rsidR="00FC12B6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2157D6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>] та</w:t>
      </w:r>
      <w:r w:rsidR="00AD43CC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положення норми</w:t>
      </w:r>
      <w:r w:rsidR="002157D6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частини третьої</w:t>
      </w:r>
      <w:r w:rsidR="00625489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157D6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>статті 135</w:t>
      </w:r>
      <w:r w:rsidR="00625489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Закону України «Про судоустрій і статус суддів»</w:t>
      </w:r>
      <w:r w:rsidR="002157D6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[</w:t>
      </w:r>
      <w:r w:rsidR="00FC12B6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2157D6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>] діють з моменту прийняття цих законів або внесення цих норм [</w:t>
      </w:r>
      <w:r w:rsidR="00FC12B6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2157D6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>].</w:t>
      </w:r>
      <w:r w:rsidR="003741BA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наведеній </w:t>
      </w:r>
      <w:r w:rsidR="00BA148D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>роботі</w:t>
      </w:r>
      <w:r w:rsidR="003741BA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нами вказувало</w:t>
      </w:r>
      <w:r w:rsidR="00BA148D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>ся, що об’єктивно судді та співробітники ДБР повинні отримувати краще фінансове забезпечення, ніж наукові чи педагогічні співробітники</w:t>
      </w:r>
      <w:r w:rsidR="00AD43CC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(раніше було наголошено на важливості</w:t>
      </w:r>
      <w:r w:rsidR="00F11E8E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зав</w:t>
      </w:r>
      <w:r w:rsidR="00AD43CC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>дань, що виконуються, і значному обсязі</w:t>
      </w:r>
      <w:r w:rsidR="00F11E8E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публічних інтересів у діяльності ДБР [</w:t>
      </w:r>
      <w:r w:rsidR="00FC12B6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F11E8E" w:rsidRPr="00946371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F11E8E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BA148D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EB330B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Проблема виникає </w:t>
      </w:r>
      <w:r w:rsidR="008E79E3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лише </w:t>
      </w:r>
      <w:r w:rsidR="00EB330B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>через неоднакове виконання норм законодавства стосовно різних категор</w:t>
      </w:r>
      <w:r w:rsidR="008E79E3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>ій громадян. Так, вказувало</w:t>
      </w:r>
      <w:r w:rsidR="00EB330B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>ся на невиконання державою положень статті 21 Конституції України «Усі люди є вільні і рівні у своїй гід</w:t>
      </w:r>
      <w:r w:rsidR="008E79E3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>ності та правах...»</w:t>
      </w:r>
      <w:r w:rsidR="00F11E8E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[</w:t>
      </w:r>
      <w:r w:rsidR="00FC12B6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>10</w:t>
      </w:r>
      <w:r w:rsidR="00F11E8E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>]</w:t>
      </w:r>
      <w:r w:rsidR="008E79E3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>, зокрема на</w:t>
      </w:r>
      <w:r w:rsidR="00EB330B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дискримінацію людей за професійною ознакою</w:t>
      </w:r>
      <w:r w:rsidR="004337B0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337B0" w:rsidRPr="00946371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FC12B6" w:rsidRPr="0094637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C12B6" w:rsidRPr="009463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 </w:t>
      </w:r>
      <w:r w:rsidR="004337B0" w:rsidRPr="009463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с. 99]</w:t>
      </w:r>
      <w:r w:rsidR="008E79E3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>, а також пропонувал</w:t>
      </w:r>
      <w:r w:rsidR="004337B0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="008E79E3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>ся</w:t>
      </w:r>
      <w:r w:rsidR="004337B0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законодавцю </w:t>
      </w:r>
      <w:r w:rsidR="00EB330B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декларувати і реалізувати рівність посадових осіб виконавчої та судової гілок влади із іншими громадянами на прикладі викладачів і науковців. Це можливо зробити за допомогою внесень доповнень до </w:t>
      </w:r>
      <w:r w:rsidR="004337B0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відповідного </w:t>
      </w:r>
      <w:r w:rsidR="00EB330B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>Закону України «Про державний бюджет Ук</w:t>
      </w:r>
      <w:r w:rsidR="004337B0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>раїни</w:t>
      </w:r>
      <w:r w:rsidR="00EB330B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», беручи за зразок норму із </w:t>
      </w:r>
      <w:r w:rsidR="008E79E3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абзацу 2 </w:t>
      </w:r>
      <w:r w:rsidR="004337B0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>частини третьої статті</w:t>
      </w:r>
      <w:r w:rsidR="00EB330B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64 «Черговість задоволення вимог кредиторів» Кодексу України з процедур банкрутства</w:t>
      </w:r>
      <w:r w:rsidR="008E79E3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[</w:t>
      </w:r>
      <w:r w:rsidR="00FC12B6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>11</w:t>
      </w:r>
      <w:r w:rsidR="008E79E3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>]</w:t>
      </w:r>
      <w:r w:rsidR="00EB330B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Має бути законодавчо визначено, що у випадку наявного дефіциту бюджету норми законодавства про оплату праці працівникам бюджетних установ, підприємств та організацій повинні виконуватися для усіх таких співробітників пропорційно до розмірів їхніх окладів залежно від </w:t>
      </w:r>
      <w:r w:rsidR="004337B0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>наявного розміру видатків бюдже</w:t>
      </w:r>
      <w:r w:rsidR="00EB330B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>ту на ці статті витрат</w:t>
      </w:r>
      <w:r w:rsidR="004337B0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337B0" w:rsidRPr="00946371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FC12B6" w:rsidRPr="0094637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C12B6" w:rsidRPr="009463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 </w:t>
      </w:r>
      <w:r w:rsidR="004337B0" w:rsidRPr="009463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с. 99]</w:t>
      </w:r>
      <w:r w:rsidR="00EB330B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4337B0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Зрозуміло, що через різні об’єктивні і суб’єктивні причини до сьогодні цього не</w:t>
      </w:r>
      <w:r w:rsidR="00AD43CC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зроблено. Більше того, нещодавно</w:t>
      </w:r>
      <w:r w:rsidR="004337B0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проблема ще більше ускладнилася через появу нового небезпечного прецедента.</w:t>
      </w:r>
    </w:p>
    <w:p w:rsidR="00721087" w:rsidRPr="00946371" w:rsidRDefault="0079393B" w:rsidP="00946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>Вчителі українських шкіл обурилися проєктом Закону України «Про державний бюджет на 2025 рік»</w:t>
      </w:r>
      <w:r w:rsidR="008E79E3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(не будемо зараз наводити суперечливі статті видатків із нього)</w:t>
      </w:r>
      <w:r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У відповідь на це КМУ </w:t>
      </w:r>
      <w:r w:rsidRPr="009463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 листопада 2024 року</w:t>
      </w:r>
      <w:r w:rsidR="00EC6495" w:rsidRPr="009463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9463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прийняв постанову </w:t>
      </w:r>
      <w:r w:rsidR="00EC6495" w:rsidRPr="009463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№</w:t>
      </w:r>
      <w:r w:rsidRPr="009463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EC6495" w:rsidRPr="009463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1286</w:t>
      </w:r>
      <w:r w:rsidRPr="009463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</w:t>
      </w:r>
      <w:r w:rsidRPr="0094637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Деякі питання оплати праці педагогічних працівників закладів загальної середньої освіти</w:t>
      </w:r>
      <w:r w:rsidRPr="009463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», якою </w:t>
      </w:r>
      <w:r w:rsidR="002216AD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>установлено</w:t>
      </w:r>
      <w:r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педагогічним працівникам закладів загальної середньої освіти державної і комунальної форми власності щомісячну доплату за особливі умови роботи:</w:t>
      </w:r>
      <w:r w:rsidR="002216AD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1 січня 2025 року –</w:t>
      </w:r>
      <w:r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розмірі 1300 гривень;</w:t>
      </w:r>
      <w:r w:rsidR="002216AD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1 вересня 2025 року</w:t>
      </w:r>
      <w:r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до кінця календарного року, в якому припине</w:t>
      </w:r>
      <w:r w:rsidR="002216AD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>но або скасовано воєнний стан, – у розмірі 2600 гривень</w:t>
      </w:r>
      <w:r w:rsidRPr="009463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94637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[</w:t>
      </w:r>
      <w:r w:rsidR="00FC12B6" w:rsidRPr="0094637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12</w:t>
      </w:r>
      <w:r w:rsidRPr="009463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]</w:t>
      </w:r>
      <w:r w:rsidR="00721087" w:rsidRPr="009463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У цьому зв’язку постає </w:t>
      </w:r>
      <w:r w:rsidR="008E79E3" w:rsidRPr="009463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як мінімум три</w:t>
      </w:r>
      <w:r w:rsidR="00C90F32" w:rsidRPr="009463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питання</w:t>
      </w:r>
      <w:r w:rsidR="008E79E3" w:rsidRPr="009463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які загрожують породженням</w:t>
      </w:r>
      <w:r w:rsidR="00721087" w:rsidRPr="009463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проблем у майбутньому: - чому доплату передбачено лише для </w:t>
      </w:r>
      <w:r w:rsidR="00721087" w:rsidRPr="0094637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педагогічних працівників закладів загальної середньої освіти, тоді як педагогічні працівники закладів дошкільної, </w:t>
      </w:r>
      <w:r w:rsidR="008E79E3" w:rsidRPr="0094637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професій</w:t>
      </w:r>
      <w:r w:rsidR="00721087" w:rsidRPr="0094637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ної</w:t>
      </w:r>
      <w:r w:rsidR="008E79E3" w:rsidRPr="0094637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освіти</w:t>
      </w:r>
      <w:r w:rsidR="00721087" w:rsidRPr="0094637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, </w:t>
      </w:r>
      <w:r w:rsidR="008E79E3" w:rsidRPr="0094637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науково-педагогічні працівники закладів </w:t>
      </w:r>
      <w:r w:rsidR="00721087" w:rsidRPr="0094637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вищої освіти також працюють в умовах воєнного стану ?</w:t>
      </w:r>
      <w:r w:rsidR="00C90F32" w:rsidRPr="009463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- ч</w:t>
      </w:r>
      <w:r w:rsidR="00721087" w:rsidRPr="009463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ому встановлено однакову суму доплати для усіх </w:t>
      </w:r>
      <w:r w:rsidR="00721087" w:rsidRPr="0094637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lastRenderedPageBreak/>
        <w:t>педагогічних працівників закладів загальної середньої освіти незалежно від їхньої посади, кваліфікаційної категорії (</w:t>
      </w:r>
      <w:r w:rsidR="005B7E59" w:rsidRPr="0094637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с</w:t>
      </w:r>
      <w:r w:rsidR="00721087" w:rsidRPr="009463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пеціаліст вищої категорії</w:t>
      </w:r>
      <w:r w:rsidR="005B7E59" w:rsidRPr="0094637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, с</w:t>
      </w:r>
      <w:r w:rsidR="00721087" w:rsidRPr="009463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пеціаліст першої категорії</w:t>
      </w:r>
      <w:r w:rsidR="005B7E59" w:rsidRPr="009463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, </w:t>
      </w:r>
      <w:r w:rsidR="005B7E59" w:rsidRPr="0094637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с</w:t>
      </w:r>
      <w:r w:rsidR="00721087" w:rsidRPr="009463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пеціаліст другої категорії</w:t>
      </w:r>
      <w:r w:rsidR="005B7E59" w:rsidRPr="009463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, </w:t>
      </w:r>
      <w:r w:rsidR="005B7E59" w:rsidRPr="0094637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с</w:t>
      </w:r>
      <w:r w:rsidR="00721087" w:rsidRPr="009463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пеціаліст</w:t>
      </w:r>
      <w:r w:rsidR="005B7E59" w:rsidRPr="009463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), педагогічного звання (в</w:t>
      </w:r>
      <w:r w:rsidR="00721087" w:rsidRPr="009463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икладач-методист</w:t>
      </w:r>
      <w:r w:rsidR="005B7E59" w:rsidRPr="009463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, </w:t>
      </w:r>
      <w:r w:rsidR="005B7E59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721087" w:rsidRPr="009463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читель-методист</w:t>
      </w:r>
      <w:r w:rsidR="005B7E59" w:rsidRPr="009463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, </w:t>
      </w:r>
      <w:r w:rsidR="005B7E59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721087" w:rsidRPr="009463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ихователь-методист</w:t>
      </w:r>
      <w:r w:rsidR="005B7E59" w:rsidRPr="009463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, </w:t>
      </w:r>
      <w:r w:rsidR="005B7E59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721087" w:rsidRPr="009463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едагог-організатор-методист</w:t>
      </w:r>
      <w:r w:rsidR="005B7E59" w:rsidRPr="009463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, </w:t>
      </w:r>
      <w:r w:rsidR="005B7E59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5B7E59" w:rsidRPr="009463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рактичний психолог -</w:t>
      </w:r>
      <w:r w:rsidR="00721087" w:rsidRPr="009463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методист</w:t>
      </w:r>
      <w:r w:rsidR="005B7E59" w:rsidRPr="009463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, </w:t>
      </w:r>
      <w:r w:rsidR="005B7E59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5B7E59" w:rsidRPr="009463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ерівник гуртка -</w:t>
      </w:r>
      <w:r w:rsidR="00721087" w:rsidRPr="009463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методист</w:t>
      </w:r>
      <w:r w:rsidR="005B7E59" w:rsidRPr="009463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, </w:t>
      </w:r>
      <w:r w:rsidR="005B7E59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="005B7E59" w:rsidRPr="009463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тарший вожатий -</w:t>
      </w:r>
      <w:r w:rsidR="00721087" w:rsidRPr="009463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методист</w:t>
      </w:r>
      <w:r w:rsidR="005B7E59" w:rsidRPr="009463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,</w:t>
      </w:r>
      <w:r w:rsidR="00C90F32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</w:t>
      </w:r>
      <w:r w:rsidR="00721087" w:rsidRPr="009463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тарший викладач</w:t>
      </w:r>
      <w:r w:rsidR="00C90F32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>, с</w:t>
      </w:r>
      <w:r w:rsidR="00721087" w:rsidRPr="009463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тарший учитель</w:t>
      </w:r>
      <w:r w:rsidR="00C90F32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>, с</w:t>
      </w:r>
      <w:r w:rsidR="00721087" w:rsidRPr="009463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тарший вихователь</w:t>
      </w:r>
      <w:r w:rsidR="00C90F32" w:rsidRPr="009463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, </w:t>
      </w:r>
      <w:r w:rsidR="00C90F32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C90F32" w:rsidRPr="009463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айстер виробничого навчання I </w:t>
      </w:r>
      <w:r w:rsidR="00721087" w:rsidRPr="009463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категорії</w:t>
      </w:r>
      <w:r w:rsidR="00C90F32" w:rsidRPr="009463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, </w:t>
      </w:r>
      <w:r w:rsidR="00C90F32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721087" w:rsidRPr="009463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айстер виробничого навчання II категорії</w:t>
      </w:r>
      <w:r w:rsidR="00A72125" w:rsidRPr="009463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)?</w:t>
      </w:r>
      <w:r w:rsidR="008E79E3" w:rsidRPr="009463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- чому не встановлено аналогічну </w:t>
      </w:r>
      <w:r w:rsidR="008E79E3" w:rsidRPr="009463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доплату науковим співробітникам державних і комунальних науково-дослідних установ, бібліотек, лабораторій тощо, які також працюють в умовах воєнного стану?</w:t>
      </w:r>
    </w:p>
    <w:p w:rsidR="003378B4" w:rsidRPr="00946371" w:rsidRDefault="00A72125" w:rsidP="00946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63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Проблема виникла із описаної на початку доповіді проблеми дискримінації людей за професійною ознакою – коли по відношенню до одних категорій громадян (у прикладі співробітників ДБР та суддів) положення законодавства пр</w:t>
      </w:r>
      <w:r w:rsidR="00F85FA0" w:rsidRPr="009463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о фінансове забезпечення виконую</w:t>
      </w:r>
      <w:r w:rsidRPr="009463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ться</w:t>
      </w:r>
      <w:r w:rsidR="00F85FA0" w:rsidRPr="009463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, а по відношенню до інших категорій громадян (у прикладі педагогів та науковців) положення законодавства про фінансове забезпечення не виконуються.</w:t>
      </w:r>
      <w:r w:rsidR="00527498" w:rsidRPr="009463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Надалі держава побачила прояв шантажу </w:t>
      </w:r>
      <w:r w:rsidR="008E79E3" w:rsidRPr="009463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своїх </w:t>
      </w:r>
      <w:r w:rsidR="00527498" w:rsidRPr="009463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найвищих органів виконавчої влади з боку </w:t>
      </w:r>
      <w:r w:rsidR="00527498" w:rsidRPr="0094637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педагогічних працівників закладів загальної середньої освіти. </w:t>
      </w:r>
      <w:r w:rsidR="00E06A4E" w:rsidRPr="0094637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У підсумку держава в особі КМУ була змушена частково задовольнити їхні фінансові вимоги через неможливість адміністративного впливу на них</w:t>
      </w:r>
      <w:r w:rsidR="00AD43CC" w:rsidRPr="0094637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, оскільки: </w:t>
      </w:r>
      <w:r w:rsidR="00E06A4E" w:rsidRPr="0094637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1) за </w:t>
      </w:r>
      <w:r w:rsidR="00F11E8E" w:rsidRPr="0094637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нормами статті 53 Конституції</w:t>
      </w:r>
      <w:r w:rsidR="00E06A4E" w:rsidRPr="0094637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України </w:t>
      </w:r>
      <w:r w:rsidR="00F11E8E" w:rsidRPr="0094637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повна зага</w:t>
      </w:r>
      <w:r w:rsidR="00E06A4E" w:rsidRPr="0094637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льна</w:t>
      </w:r>
      <w:r w:rsidR="00F11E8E" w:rsidRPr="0094637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середня</w:t>
      </w:r>
      <w:r w:rsidR="00E06A4E" w:rsidRPr="0094637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освіта є обов’язко</w:t>
      </w:r>
      <w:r w:rsidR="00F11E8E" w:rsidRPr="0094637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вою і безоплат</w:t>
      </w:r>
      <w:r w:rsidR="00E06A4E" w:rsidRPr="0094637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ною</w:t>
      </w:r>
      <w:r w:rsidR="00F11E8E" w:rsidRPr="0094637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[</w:t>
      </w:r>
      <w:r w:rsidR="00FC12B6" w:rsidRPr="00946371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F11E8E" w:rsidRPr="0094637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]</w:t>
      </w:r>
      <w:r w:rsidR="00E06A4E" w:rsidRPr="0094637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, 2) абсолютна більшість педагогічних працівників закладів загальної середньої освіти є жінками, а тому навіть теоретично не підпадає під обов’язкову мобілізацію навіть у випадку звільнення з основного місця роботи</w:t>
      </w:r>
      <w:r w:rsidR="00E56D37" w:rsidRPr="0094637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; 3) бажаючих працювати у закладах загальної середньої освіти, рівно як і в закладах освіти загалом, відносно небагато</w:t>
      </w:r>
      <w:r w:rsidR="00E06A4E" w:rsidRPr="0094637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. </w:t>
      </w:r>
      <w:r w:rsidR="008E79E3" w:rsidRPr="0094637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Ч</w:t>
      </w:r>
      <w:r w:rsidR="00E06A4E" w:rsidRPr="0094637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асткове задоволення їхніх вимог створило додаткову загрозу системі справедливого розподілу державних фінансів, адже це було зроблено у </w:t>
      </w:r>
      <w:r w:rsidR="008E79E3" w:rsidRPr="0094637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так званому </w:t>
      </w:r>
      <w:r w:rsidR="00E06A4E" w:rsidRPr="0094637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«ручному режимі». Надихнувшись цим прикладом</w:t>
      </w:r>
      <w:r w:rsidR="000F7F37" w:rsidRPr="0094637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,</w:t>
      </w:r>
      <w:r w:rsidR="00E56D37" w:rsidRPr="0094637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завтра з аналогічні фінансові вимоги можуть висуну</w:t>
      </w:r>
      <w:r w:rsidR="00E06A4E" w:rsidRPr="0094637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ти представники певних стратегічних галузей виробництва, наприклад, працівники газопостачальних організацій</w:t>
      </w:r>
      <w:r w:rsidR="00E56D37" w:rsidRPr="0094637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, чи ще якась група людей за професійною ознакою</w:t>
      </w:r>
      <w:r w:rsidR="000F7F37" w:rsidRPr="0094637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 І тоді КМУ так само у «ручному режимі» доведеться й</w:t>
      </w:r>
      <w:r w:rsidR="008E79E3" w:rsidRPr="0094637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ти на поступки й</w:t>
      </w:r>
      <w:r w:rsidR="000F7F37" w:rsidRPr="0094637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їм. </w:t>
      </w:r>
      <w:r w:rsidR="008E79E3" w:rsidRPr="0094637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Щ</w:t>
      </w:r>
      <w:r w:rsidR="000F7F37" w:rsidRPr="0094637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е однією загрозою суспільному благополуччю тут може виступати спосіб задоволення ультимативних вимог педагогічних працівників закладів загальної середньої освіти – повернення до «зрівнялівки», поширеної за часів колишнього СРСР і такої, що не враховує інших заслуг осіб, яким допомога надається. І це все при тому, що наведені у постанові КМУ від </w:t>
      </w:r>
      <w:r w:rsidR="000F7F37" w:rsidRPr="009463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8 листопада 2024 року розміри щомісячної доплати </w:t>
      </w:r>
      <w:r w:rsidR="000F7F37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педагогічним працівникам закладів загальної середньої освіти державної і комунальної форми </w:t>
      </w:r>
      <w:r w:rsidR="000F7F37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власності – у розмірі 1300 гривень з 1 січня 2025 року та у розмірі 2600 гривень з 1 вересня 2025 року </w:t>
      </w:r>
      <w:r w:rsidR="000F7F37" w:rsidRPr="0094637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[</w:t>
      </w:r>
      <w:r w:rsidR="00FC12B6" w:rsidRPr="0094637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12</w:t>
      </w:r>
      <w:r w:rsidR="000F7F37" w:rsidRPr="009463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]</w:t>
      </w:r>
      <w:r w:rsidR="000F7F37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B1C3B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>навряд чи кардинально поліпша</w:t>
      </w:r>
      <w:r w:rsidR="000F7F37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ть добробут таких працівників. Тому оптимальним було б повернутися до першопричини і таки реалізувати нашу пропозицію 2022 року щодо прийняття правила про пропорційне до розмірів окладів </w:t>
      </w:r>
      <w:r w:rsidR="003378B4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працівників бюджетних установ, підприємств та організацій використання коштів Державного бюджету, яких не вистачає для повного забезпечення </w:t>
      </w:r>
      <w:r w:rsidR="002B1C3B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законодавчо встановлених фінансових вимог </w:t>
      </w:r>
      <w:r w:rsidR="003378B4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таких працівників. </w:t>
      </w:r>
      <w:r w:rsidR="00E56D37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>Аналогія наявна в абзаці 2</w:t>
      </w:r>
      <w:r w:rsidR="003378B4" w:rsidRPr="009463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частини третьої статті 64 «Черговість задоволення вимог кредиторів» Кодексу України з процедур банкрутства: «</w:t>
      </w:r>
      <w:r w:rsidR="003378B4" w:rsidRPr="009463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разі недостатності коштів, одержаних від продажу майна банкрута, для повного задоволення всіх вимог однієї черги вимоги задовольняються пропорційно до суми вимог, що належить кожному кредитору однієї черги» [</w:t>
      </w:r>
      <w:r w:rsidR="00FC12B6" w:rsidRPr="00946371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3378B4" w:rsidRPr="009463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].</w:t>
      </w:r>
    </w:p>
    <w:p w:rsidR="00EF7E8D" w:rsidRPr="00946371" w:rsidRDefault="00EF7E8D" w:rsidP="00946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7DB6" w:rsidRPr="00946371" w:rsidRDefault="00A11A1A" w:rsidP="00946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6371">
        <w:rPr>
          <w:rFonts w:ascii="Times New Roman" w:hAnsi="Times New Roman" w:cs="Times New Roman"/>
          <w:b/>
          <w:sz w:val="28"/>
          <w:szCs w:val="28"/>
          <w:lang w:val="uk-UA"/>
        </w:rPr>
        <w:t>Перелік використаних джерел</w:t>
      </w:r>
      <w:r w:rsidR="004F249F" w:rsidRPr="0094637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946371" w:rsidRPr="00946371" w:rsidRDefault="00946371" w:rsidP="00946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560A" w:rsidRPr="00946371" w:rsidRDefault="0028560A" w:rsidP="00946371">
      <w:pPr>
        <w:pStyle w:val="a6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371">
        <w:rPr>
          <w:rFonts w:ascii="Times New Roman" w:hAnsi="Times New Roman" w:cs="Times New Roman"/>
          <w:sz w:val="28"/>
          <w:szCs w:val="28"/>
          <w:lang w:val="uk-UA"/>
        </w:rPr>
        <w:t xml:space="preserve">Загальна декларація прав людини ООН від 10 грудня 1948 року. </w:t>
      </w:r>
      <w:r w:rsidRPr="00946371">
        <w:rPr>
          <w:rFonts w:ascii="Times New Roman" w:hAnsi="Times New Roman" w:cs="Times New Roman"/>
          <w:i/>
          <w:sz w:val="28"/>
          <w:szCs w:val="28"/>
          <w:lang w:val="uk-UA"/>
        </w:rPr>
        <w:t>Офіційний портал Верховної Ради України.</w:t>
      </w:r>
      <w:r w:rsidRPr="00946371">
        <w:rPr>
          <w:rFonts w:ascii="Times New Roman" w:hAnsi="Times New Roman" w:cs="Times New Roman"/>
          <w:sz w:val="28"/>
          <w:szCs w:val="28"/>
          <w:lang w:val="uk-UA"/>
        </w:rPr>
        <w:t xml:space="preserve"> URL: </w:t>
      </w:r>
      <w:hyperlink r:id="rId9" w:history="1">
        <w:r w:rsidRPr="00946371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http://zakon3.rada.gov.ua/laws/show/995_015</w:t>
        </w:r>
      </w:hyperlink>
    </w:p>
    <w:p w:rsidR="00FC12B6" w:rsidRPr="00946371" w:rsidRDefault="00FC12B6" w:rsidP="00946371">
      <w:pPr>
        <w:pStyle w:val="a6"/>
        <w:numPr>
          <w:ilvl w:val="0"/>
          <w:numId w:val="1"/>
        </w:numPr>
        <w:spacing w:after="0" w:line="240" w:lineRule="auto"/>
        <w:ind w:left="426" w:hanging="426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</w:pPr>
      <w:r w:rsidRPr="0094637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Про введення воєнного стану в Україні: Указ Президента України від </w:t>
      </w:r>
      <w:r w:rsidRPr="009463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24 лютого 2022 року</w:t>
      </w:r>
      <w:r w:rsidRPr="0094637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46371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946371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946371">
        <w:rPr>
          <w:rFonts w:ascii="Times New Roman" w:hAnsi="Times New Roman" w:cs="Times New Roman"/>
          <w:sz w:val="28"/>
          <w:szCs w:val="28"/>
          <w:lang w:val="uk-UA"/>
        </w:rPr>
        <w:t>64/2022</w:t>
      </w:r>
      <w:r w:rsidRPr="0094637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Pr="0094637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URL: </w:t>
      </w:r>
      <w:hyperlink r:id="rId10" w:history="1">
        <w:r w:rsidRPr="00946371">
          <w:rPr>
            <w:rStyle w:val="a5"/>
            <w:rFonts w:ascii="Times New Roman" w:hAnsi="Times New Roman" w:cs="Times New Roman"/>
            <w:iCs/>
            <w:sz w:val="28"/>
            <w:szCs w:val="28"/>
            <w:lang w:val="uk-UA"/>
          </w:rPr>
          <w:t>https://www.president.gov.ua/documents/642022-41397</w:t>
        </w:r>
      </w:hyperlink>
    </w:p>
    <w:p w:rsidR="00FC12B6" w:rsidRPr="00946371" w:rsidRDefault="00FC12B6" w:rsidP="00946371">
      <w:pPr>
        <w:pStyle w:val="a6"/>
        <w:numPr>
          <w:ilvl w:val="0"/>
          <w:numId w:val="1"/>
        </w:numPr>
        <w:spacing w:after="0" w:line="240" w:lineRule="auto"/>
        <w:ind w:left="426" w:hanging="426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</w:pPr>
      <w:r w:rsidRPr="0094637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 затвердження Указу Президента України «Про введення воєнного стану в Україні»:</w:t>
      </w:r>
      <w:r w:rsidRPr="00946371">
        <w:rPr>
          <w:rFonts w:ascii="Times New Roman" w:hAnsi="Times New Roman" w:cs="Times New Roman"/>
          <w:sz w:val="28"/>
          <w:szCs w:val="28"/>
          <w:lang w:val="uk-UA"/>
        </w:rPr>
        <w:t xml:space="preserve"> Закон України від 24 лютого 2022 року № 2102-IХ. </w:t>
      </w:r>
      <w:r w:rsidRPr="0094637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URL: </w:t>
      </w:r>
      <w:hyperlink r:id="rId11" w:anchor="Text" w:history="1">
        <w:r w:rsidRPr="00946371">
          <w:rPr>
            <w:rStyle w:val="a5"/>
            <w:rFonts w:ascii="Times New Roman" w:hAnsi="Times New Roman" w:cs="Times New Roman"/>
            <w:iCs/>
            <w:sz w:val="28"/>
            <w:szCs w:val="28"/>
            <w:lang w:val="uk-UA"/>
          </w:rPr>
          <w:t>https://zakon.rada.gov.ua/laws/show/2102-20#Text</w:t>
        </w:r>
      </w:hyperlink>
    </w:p>
    <w:p w:rsidR="00FC12B6" w:rsidRPr="00946371" w:rsidRDefault="00FC12B6" w:rsidP="00946371">
      <w:pPr>
        <w:pStyle w:val="a6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371">
        <w:rPr>
          <w:rFonts w:ascii="Times New Roman" w:hAnsi="Times New Roman" w:cs="Times New Roman"/>
          <w:sz w:val="28"/>
          <w:szCs w:val="28"/>
          <w:lang w:val="uk-UA"/>
        </w:rPr>
        <w:t>Про освіту: Закон України від 5 вересня 2017 року № </w:t>
      </w:r>
      <w:r w:rsidRPr="009463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2145-VIII.</w:t>
      </w:r>
      <w:r w:rsidRPr="009463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6371">
        <w:rPr>
          <w:rFonts w:ascii="Times New Roman" w:hAnsi="Times New Roman" w:cs="Times New Roman"/>
          <w:i/>
          <w:sz w:val="28"/>
          <w:szCs w:val="28"/>
          <w:lang w:val="uk-UA"/>
        </w:rPr>
        <w:t>Відомості Верховної Ради України</w:t>
      </w:r>
      <w:r w:rsidRPr="00946371">
        <w:rPr>
          <w:rFonts w:ascii="Times New Roman" w:hAnsi="Times New Roman" w:cs="Times New Roman"/>
          <w:sz w:val="28"/>
          <w:szCs w:val="28"/>
          <w:lang w:val="uk-UA"/>
        </w:rPr>
        <w:t>. 2017. № 38–39. Ст. 380.</w:t>
      </w:r>
    </w:p>
    <w:p w:rsidR="00FC12B6" w:rsidRPr="00946371" w:rsidRDefault="00FC12B6" w:rsidP="00946371">
      <w:pPr>
        <w:pStyle w:val="a6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371">
        <w:rPr>
          <w:rFonts w:ascii="Times New Roman" w:hAnsi="Times New Roman" w:cs="Times New Roman"/>
          <w:sz w:val="28"/>
          <w:szCs w:val="28"/>
          <w:lang w:val="uk-UA"/>
        </w:rPr>
        <w:t xml:space="preserve">Про наукову і науково-технічну діяльність: Закон України від 26 листопада 2015 року № 848-VIII. </w:t>
      </w:r>
      <w:r w:rsidRPr="00946371">
        <w:rPr>
          <w:rFonts w:ascii="Times New Roman" w:hAnsi="Times New Roman" w:cs="Times New Roman"/>
          <w:i/>
          <w:iCs/>
          <w:sz w:val="28"/>
          <w:szCs w:val="28"/>
          <w:lang w:val="uk-UA"/>
        </w:rPr>
        <w:t>Відомості Верховної Ради України.</w:t>
      </w:r>
      <w:r w:rsidRPr="0094637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2016. № 3. Ст. 25.</w:t>
      </w:r>
    </w:p>
    <w:p w:rsidR="00FC12B6" w:rsidRPr="00946371" w:rsidRDefault="00FC12B6" w:rsidP="00946371">
      <w:pPr>
        <w:pStyle w:val="a6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371">
        <w:rPr>
          <w:rFonts w:ascii="Times New Roman" w:hAnsi="Times New Roman" w:cs="Times New Roman"/>
          <w:sz w:val="28"/>
          <w:szCs w:val="28"/>
          <w:lang w:val="uk-UA"/>
        </w:rPr>
        <w:t xml:space="preserve">Деревянко Б.В. Щодо дії норм про розміри посадових окладів викладачів, науковців та посадових осіб виконавчої і судової гілок влади (у контексті рівності людей за статтею 21 Конституції України). </w:t>
      </w:r>
      <w:r w:rsidRPr="00946371">
        <w:rPr>
          <w:rFonts w:ascii="Times New Roman" w:hAnsi="Times New Roman" w:cs="Times New Roman"/>
          <w:i/>
          <w:sz w:val="28"/>
          <w:szCs w:val="28"/>
          <w:lang w:val="uk-UA"/>
        </w:rPr>
        <w:t>Економіка та право.</w:t>
      </w:r>
      <w:r w:rsidRPr="00946371">
        <w:rPr>
          <w:rFonts w:ascii="Times New Roman" w:hAnsi="Times New Roman" w:cs="Times New Roman"/>
          <w:sz w:val="28"/>
          <w:szCs w:val="28"/>
          <w:lang w:val="uk-UA"/>
        </w:rPr>
        <w:t xml:space="preserve"> 2022. № 2 (65). С. 92–101. </w:t>
      </w:r>
      <w:hyperlink r:id="rId12" w:history="1">
        <w:r w:rsidRPr="00946371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https://doi.org/10.15407/econlaw.2022.02.092</w:t>
        </w:r>
      </w:hyperlink>
    </w:p>
    <w:p w:rsidR="00FC12B6" w:rsidRPr="00946371" w:rsidRDefault="00FC12B6" w:rsidP="00946371">
      <w:pPr>
        <w:pStyle w:val="a6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37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Про Державне бюро розслідувань: </w:t>
      </w:r>
      <w:r w:rsidRPr="00946371">
        <w:rPr>
          <w:rFonts w:ascii="Times New Roman" w:hAnsi="Times New Roman" w:cs="Times New Roman"/>
          <w:sz w:val="28"/>
          <w:szCs w:val="28"/>
          <w:lang w:val="uk-UA"/>
        </w:rPr>
        <w:t xml:space="preserve">Закон України від 12 листопада 2015 року № 794-VIII. </w:t>
      </w:r>
      <w:r w:rsidRPr="00946371">
        <w:rPr>
          <w:rFonts w:ascii="Times New Roman" w:hAnsi="Times New Roman" w:cs="Times New Roman"/>
          <w:i/>
          <w:iCs/>
          <w:sz w:val="28"/>
          <w:szCs w:val="28"/>
          <w:lang w:val="uk-UA"/>
        </w:rPr>
        <w:t>Відомості Верховної Ради України.</w:t>
      </w:r>
      <w:r w:rsidRPr="0094637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2016. № 6. Ст. 55.</w:t>
      </w:r>
    </w:p>
    <w:p w:rsidR="00FC12B6" w:rsidRPr="00946371" w:rsidRDefault="00FC12B6" w:rsidP="00946371">
      <w:pPr>
        <w:pStyle w:val="a6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371">
        <w:rPr>
          <w:rFonts w:ascii="Times New Roman" w:hAnsi="Times New Roman" w:cs="Times New Roman"/>
          <w:sz w:val="28"/>
          <w:szCs w:val="28"/>
          <w:lang w:val="uk-UA"/>
        </w:rPr>
        <w:t xml:space="preserve">Про судоустрій і статус суддів: Закон України від 2 червня 2016 року № 1402-VIII. </w:t>
      </w:r>
      <w:r w:rsidRPr="00946371">
        <w:rPr>
          <w:rFonts w:ascii="Times New Roman" w:hAnsi="Times New Roman" w:cs="Times New Roman"/>
          <w:i/>
          <w:sz w:val="28"/>
          <w:szCs w:val="28"/>
          <w:lang w:val="uk-UA"/>
        </w:rPr>
        <w:t>Відомості Верховної Ради України.</w:t>
      </w:r>
      <w:r w:rsidRPr="00946371">
        <w:rPr>
          <w:rFonts w:ascii="Times New Roman" w:hAnsi="Times New Roman" w:cs="Times New Roman"/>
          <w:sz w:val="28"/>
          <w:szCs w:val="28"/>
          <w:lang w:val="uk-UA"/>
        </w:rPr>
        <w:t xml:space="preserve"> 2016. № 31. Ст. 545.</w:t>
      </w:r>
    </w:p>
    <w:p w:rsidR="00FC12B6" w:rsidRPr="00946371" w:rsidRDefault="00FC12B6" w:rsidP="00946371">
      <w:pPr>
        <w:pStyle w:val="a6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37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Деревянко Б.В. Державне бюро розслідувань як новий державний орган зі спеціальною компетенцією. </w:t>
      </w:r>
      <w:r w:rsidRPr="00946371">
        <w:rPr>
          <w:rFonts w:ascii="Times New Roman" w:hAnsi="Times New Roman" w:cs="Times New Roman"/>
          <w:i/>
          <w:sz w:val="28"/>
          <w:szCs w:val="28"/>
          <w:lang w:val="uk-UA"/>
        </w:rPr>
        <w:t>Правовий часопис Донбасу.</w:t>
      </w:r>
      <w:r w:rsidRPr="00946371">
        <w:rPr>
          <w:rFonts w:ascii="Times New Roman" w:hAnsi="Times New Roman" w:cs="Times New Roman"/>
          <w:sz w:val="28"/>
          <w:szCs w:val="28"/>
          <w:lang w:val="uk-UA"/>
        </w:rPr>
        <w:t xml:space="preserve"> 2019. № 2 (67). С. 78–84.</w:t>
      </w:r>
      <w:bookmarkStart w:id="0" w:name="_GoBack"/>
      <w:bookmarkEnd w:id="0"/>
    </w:p>
    <w:p w:rsidR="00FC12B6" w:rsidRPr="00946371" w:rsidRDefault="00FC12B6" w:rsidP="00946371">
      <w:pPr>
        <w:pStyle w:val="a6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371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Конституція України від 28 червня 1996 року. </w:t>
      </w:r>
      <w:r w:rsidRPr="00946371">
        <w:rPr>
          <w:rFonts w:ascii="Times New Roman" w:hAnsi="Times New Roman" w:cs="Times New Roman"/>
          <w:i/>
          <w:sz w:val="28"/>
          <w:szCs w:val="28"/>
          <w:lang w:val="uk-UA"/>
        </w:rPr>
        <w:t>Відомості Верховної Ради України.</w:t>
      </w:r>
      <w:r w:rsidRPr="00946371">
        <w:rPr>
          <w:rFonts w:ascii="Times New Roman" w:hAnsi="Times New Roman" w:cs="Times New Roman"/>
          <w:sz w:val="28"/>
          <w:szCs w:val="28"/>
          <w:lang w:val="uk-UA"/>
        </w:rPr>
        <w:t xml:space="preserve"> 1996. № 30. Ст. 141.</w:t>
      </w:r>
    </w:p>
    <w:p w:rsidR="0028560A" w:rsidRPr="00946371" w:rsidRDefault="00FC12B6" w:rsidP="00946371">
      <w:pPr>
        <w:pStyle w:val="a6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371">
        <w:rPr>
          <w:rFonts w:ascii="Times New Roman" w:hAnsi="Times New Roman" w:cs="Times New Roman"/>
          <w:sz w:val="28"/>
          <w:szCs w:val="28"/>
          <w:lang w:val="uk-UA"/>
        </w:rPr>
        <w:t xml:space="preserve">Кодекс України з процедур банкрутства: Закон України від 18 жовтня 2018 року № 2597-VIII. </w:t>
      </w:r>
      <w:r w:rsidRPr="00946371">
        <w:rPr>
          <w:rFonts w:ascii="Times New Roman" w:hAnsi="Times New Roman" w:cs="Times New Roman"/>
          <w:i/>
          <w:sz w:val="28"/>
          <w:szCs w:val="28"/>
          <w:lang w:val="uk-UA"/>
        </w:rPr>
        <w:t>Відомості Верховної Ради України.</w:t>
      </w:r>
      <w:r w:rsidRPr="00946371">
        <w:rPr>
          <w:rFonts w:ascii="Times New Roman" w:hAnsi="Times New Roman" w:cs="Times New Roman"/>
          <w:sz w:val="28"/>
          <w:szCs w:val="28"/>
          <w:lang w:val="uk-UA"/>
        </w:rPr>
        <w:t xml:space="preserve"> 2019. № 19. Ст. 74.</w:t>
      </w:r>
    </w:p>
    <w:p w:rsidR="00EF7E8D" w:rsidRPr="00946371" w:rsidRDefault="00FC12B6" w:rsidP="00946371">
      <w:pPr>
        <w:pStyle w:val="a6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37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Деякі питання оплати праці педагогічних працівників закладів загальної середньої освіти: постанова Кабінету Міністрів України від </w:t>
      </w:r>
      <w:r w:rsidRPr="009463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8 листопада 2024 року № 1286. Єдиний веб-портал органів виконавчої влади України. URL: </w:t>
      </w:r>
      <w:hyperlink r:id="rId13" w:history="1">
        <w:r w:rsidRPr="00946371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https://www.kmu.gov.ua/npas/deiaki-pytannia-oplaty-pratsi-pedahohichnykh-pratsivnykiv-zakladiv-zahalnoi-s128681124</w:t>
        </w:r>
      </w:hyperlink>
    </w:p>
    <w:sectPr w:rsidR="00EF7E8D" w:rsidRPr="00946371" w:rsidSect="00327B60">
      <w:headerReference w:type="default" r:id="rId14"/>
      <w:pgSz w:w="12240" w:h="15840"/>
      <w:pgMar w:top="2381" w:right="1134" w:bottom="1134" w:left="1134" w:header="142" w:footer="709" w:gutter="0"/>
      <w:pgNumType w:start="30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4C4" w:rsidRDefault="008C74C4" w:rsidP="00946371">
      <w:pPr>
        <w:spacing w:after="0" w:line="240" w:lineRule="auto"/>
      </w:pPr>
      <w:r>
        <w:separator/>
      </w:r>
    </w:p>
  </w:endnote>
  <w:endnote w:type="continuationSeparator" w:id="0">
    <w:p w:rsidR="008C74C4" w:rsidRDefault="008C74C4" w:rsidP="00946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4C4" w:rsidRDefault="008C74C4" w:rsidP="00946371">
      <w:pPr>
        <w:spacing w:after="0" w:line="240" w:lineRule="auto"/>
      </w:pPr>
      <w:r>
        <w:separator/>
      </w:r>
    </w:p>
  </w:footnote>
  <w:footnote w:type="continuationSeparator" w:id="0">
    <w:p w:rsidR="008C74C4" w:rsidRDefault="008C74C4" w:rsidP="00946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8688666"/>
      <w:docPartObj>
        <w:docPartGallery w:val="Page Numbers (Top of Page)"/>
        <w:docPartUnique/>
      </w:docPartObj>
    </w:sdtPr>
    <w:sdtContent>
      <w:p w:rsidR="00946371" w:rsidRDefault="0094637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B60" w:rsidRPr="00327B60">
          <w:rPr>
            <w:noProof/>
            <w:lang w:val="ru-RU"/>
          </w:rPr>
          <w:t>301</w:t>
        </w:r>
        <w:r>
          <w:fldChar w:fldCharType="end"/>
        </w:r>
      </w:p>
    </w:sdtContent>
  </w:sdt>
  <w:p w:rsidR="00946371" w:rsidRDefault="00946371" w:rsidP="00946371">
    <w:pPr>
      <w:spacing w:after="0" w:line="240" w:lineRule="auto"/>
      <w:jc w:val="both"/>
      <w:rPr>
        <w:rFonts w:ascii="Times New Roman" w:hAnsi="Times New Roman" w:cs="Times New Roman"/>
        <w:sz w:val="24"/>
        <w:szCs w:val="24"/>
        <w:lang w:val="uk-UA"/>
      </w:rPr>
    </w:pPr>
  </w:p>
  <w:p w:rsidR="00946371" w:rsidRPr="00946371" w:rsidRDefault="00946371" w:rsidP="00946371">
    <w:pPr>
      <w:spacing w:after="0" w:line="240" w:lineRule="auto"/>
      <w:jc w:val="both"/>
      <w:rPr>
        <w:rFonts w:ascii="Times New Roman" w:hAnsi="Times New Roman" w:cs="Times New Roman"/>
        <w:color w:val="000000"/>
        <w:sz w:val="24"/>
        <w:szCs w:val="24"/>
        <w:lang w:val="uk-UA"/>
      </w:rPr>
    </w:pPr>
    <w:r w:rsidRPr="00946371">
      <w:rPr>
        <w:rFonts w:ascii="Times New Roman" w:hAnsi="Times New Roman" w:cs="Times New Roman"/>
        <w:sz w:val="24"/>
        <w:szCs w:val="24"/>
        <w:lang w:val="uk-UA"/>
      </w:rPr>
      <w:t xml:space="preserve">Деревянко Б.В. Про вибірковий захист прав громадян і загрози суспільному благополуччю в умовах воєнного стану. </w:t>
    </w:r>
    <w:r w:rsidRPr="00946371">
      <w:rPr>
        <w:rFonts w:ascii="Times New Roman" w:hAnsi="Times New Roman" w:cs="Times New Roman"/>
        <w:i/>
        <w:sz w:val="24"/>
        <w:szCs w:val="24"/>
        <w:lang w:val="uk-UA"/>
      </w:rPr>
      <w:t xml:space="preserve">Права людини під час дії правового режиму воєнного стану: матеріали Всеукр. наук.-практ. конф. </w:t>
    </w:r>
    <w:r w:rsidRPr="00946371">
      <w:rPr>
        <w:rFonts w:ascii="Times New Roman" w:hAnsi="Times New Roman" w:cs="Times New Roman"/>
        <w:sz w:val="24"/>
        <w:szCs w:val="24"/>
        <w:lang w:val="uk-UA"/>
      </w:rPr>
      <w:t>(в авторській редакції), заочна форма (м. Кропивницький, 10 грудня 2024 р.). ДонДУВС. Кропивницький, 2024. С. 301–305.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E1A3A"/>
    <w:multiLevelType w:val="hybridMultilevel"/>
    <w:tmpl w:val="ADECD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A685B"/>
    <w:multiLevelType w:val="hybridMultilevel"/>
    <w:tmpl w:val="24AA02E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B93"/>
    <w:rsid w:val="00002C82"/>
    <w:rsid w:val="00010D20"/>
    <w:rsid w:val="0003179F"/>
    <w:rsid w:val="00077D2B"/>
    <w:rsid w:val="000A7E3C"/>
    <w:rsid w:val="000C20E7"/>
    <w:rsid w:val="000C3859"/>
    <w:rsid w:val="000F7F37"/>
    <w:rsid w:val="001340FB"/>
    <w:rsid w:val="00140BC3"/>
    <w:rsid w:val="00146BEC"/>
    <w:rsid w:val="00184B93"/>
    <w:rsid w:val="001C553C"/>
    <w:rsid w:val="001E57E4"/>
    <w:rsid w:val="002157D6"/>
    <w:rsid w:val="00221103"/>
    <w:rsid w:val="002216AD"/>
    <w:rsid w:val="00230C55"/>
    <w:rsid w:val="00243B07"/>
    <w:rsid w:val="0028560A"/>
    <w:rsid w:val="002A7EE0"/>
    <w:rsid w:val="002B1C3B"/>
    <w:rsid w:val="002B1E4E"/>
    <w:rsid w:val="002D3862"/>
    <w:rsid w:val="002D70B4"/>
    <w:rsid w:val="002E7F65"/>
    <w:rsid w:val="002F13A0"/>
    <w:rsid w:val="00301F4C"/>
    <w:rsid w:val="00327B60"/>
    <w:rsid w:val="003378B4"/>
    <w:rsid w:val="00345149"/>
    <w:rsid w:val="00350013"/>
    <w:rsid w:val="003741BA"/>
    <w:rsid w:val="003B55CF"/>
    <w:rsid w:val="003D4756"/>
    <w:rsid w:val="003D6FC2"/>
    <w:rsid w:val="003D70FC"/>
    <w:rsid w:val="003F0A21"/>
    <w:rsid w:val="0043010E"/>
    <w:rsid w:val="004337B0"/>
    <w:rsid w:val="004737D7"/>
    <w:rsid w:val="004900FD"/>
    <w:rsid w:val="00497361"/>
    <w:rsid w:val="004A06A0"/>
    <w:rsid w:val="004A3A26"/>
    <w:rsid w:val="004B230C"/>
    <w:rsid w:val="004E04B7"/>
    <w:rsid w:val="004E59F3"/>
    <w:rsid w:val="004F249F"/>
    <w:rsid w:val="00523E3D"/>
    <w:rsid w:val="00527498"/>
    <w:rsid w:val="0055549E"/>
    <w:rsid w:val="0055669E"/>
    <w:rsid w:val="00595CA9"/>
    <w:rsid w:val="005B7E59"/>
    <w:rsid w:val="005E27EC"/>
    <w:rsid w:val="005E756F"/>
    <w:rsid w:val="005F6F3E"/>
    <w:rsid w:val="00625489"/>
    <w:rsid w:val="00670C65"/>
    <w:rsid w:val="00672D69"/>
    <w:rsid w:val="00701F7A"/>
    <w:rsid w:val="00721087"/>
    <w:rsid w:val="00731DF4"/>
    <w:rsid w:val="00747698"/>
    <w:rsid w:val="007763BD"/>
    <w:rsid w:val="007774ED"/>
    <w:rsid w:val="0079393B"/>
    <w:rsid w:val="007A36EE"/>
    <w:rsid w:val="007A7D08"/>
    <w:rsid w:val="008030A2"/>
    <w:rsid w:val="00806A1C"/>
    <w:rsid w:val="00831201"/>
    <w:rsid w:val="00833FA5"/>
    <w:rsid w:val="00851F0D"/>
    <w:rsid w:val="00856144"/>
    <w:rsid w:val="008906B4"/>
    <w:rsid w:val="008A263F"/>
    <w:rsid w:val="008C74C4"/>
    <w:rsid w:val="008E79E3"/>
    <w:rsid w:val="00936887"/>
    <w:rsid w:val="00937DB6"/>
    <w:rsid w:val="00937F69"/>
    <w:rsid w:val="00944644"/>
    <w:rsid w:val="00946371"/>
    <w:rsid w:val="009533F9"/>
    <w:rsid w:val="00956026"/>
    <w:rsid w:val="00975961"/>
    <w:rsid w:val="00982DC6"/>
    <w:rsid w:val="009856EA"/>
    <w:rsid w:val="009F44E9"/>
    <w:rsid w:val="00A11A1A"/>
    <w:rsid w:val="00A145EC"/>
    <w:rsid w:val="00A257DD"/>
    <w:rsid w:val="00A573AA"/>
    <w:rsid w:val="00A71197"/>
    <w:rsid w:val="00A72125"/>
    <w:rsid w:val="00AD43CC"/>
    <w:rsid w:val="00AE4F41"/>
    <w:rsid w:val="00B06F0D"/>
    <w:rsid w:val="00B4060A"/>
    <w:rsid w:val="00B57297"/>
    <w:rsid w:val="00BA148D"/>
    <w:rsid w:val="00BF1A27"/>
    <w:rsid w:val="00C10D4F"/>
    <w:rsid w:val="00C20247"/>
    <w:rsid w:val="00C90F32"/>
    <w:rsid w:val="00CB505D"/>
    <w:rsid w:val="00CB741A"/>
    <w:rsid w:val="00CD25AD"/>
    <w:rsid w:val="00D05094"/>
    <w:rsid w:val="00D12843"/>
    <w:rsid w:val="00D5161F"/>
    <w:rsid w:val="00D84A1F"/>
    <w:rsid w:val="00D93840"/>
    <w:rsid w:val="00DA0E9E"/>
    <w:rsid w:val="00DB1868"/>
    <w:rsid w:val="00E06A4E"/>
    <w:rsid w:val="00E172CB"/>
    <w:rsid w:val="00E230A1"/>
    <w:rsid w:val="00E378BF"/>
    <w:rsid w:val="00E478AA"/>
    <w:rsid w:val="00E56D37"/>
    <w:rsid w:val="00E60207"/>
    <w:rsid w:val="00E75D57"/>
    <w:rsid w:val="00E95EB2"/>
    <w:rsid w:val="00EB330B"/>
    <w:rsid w:val="00EC6495"/>
    <w:rsid w:val="00EE111F"/>
    <w:rsid w:val="00EE4FD4"/>
    <w:rsid w:val="00EF6C75"/>
    <w:rsid w:val="00EF7E8D"/>
    <w:rsid w:val="00F11E8E"/>
    <w:rsid w:val="00F12FA8"/>
    <w:rsid w:val="00F22E95"/>
    <w:rsid w:val="00F239AB"/>
    <w:rsid w:val="00F4630F"/>
    <w:rsid w:val="00F85FA0"/>
    <w:rsid w:val="00FA5A08"/>
    <w:rsid w:val="00FB0E98"/>
    <w:rsid w:val="00FC0061"/>
    <w:rsid w:val="00FC12B6"/>
    <w:rsid w:val="00FD7B6A"/>
    <w:rsid w:val="00FE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 Знак3"/>
    <w:basedOn w:val="a"/>
    <w:rsid w:val="00D93840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paragraph" w:styleId="a3">
    <w:name w:val="Body Text"/>
    <w:basedOn w:val="a"/>
    <w:link w:val="a4"/>
    <w:rsid w:val="009F44E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rsid w:val="009F44E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5">
    <w:name w:val="Hyperlink"/>
    <w:uiPriority w:val="99"/>
    <w:rsid w:val="009F44E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E27EC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2B1E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B1E4E"/>
    <w:rPr>
      <w:rFonts w:ascii="Courier New" w:eastAsia="Times New Roman" w:hAnsi="Courier New" w:cs="Courier New"/>
      <w:sz w:val="20"/>
      <w:szCs w:val="20"/>
    </w:rPr>
  </w:style>
  <w:style w:type="character" w:styleId="a7">
    <w:name w:val="Emphasis"/>
    <w:uiPriority w:val="99"/>
    <w:qFormat/>
    <w:rsid w:val="000C3859"/>
    <w:rPr>
      <w:i/>
      <w:iCs/>
    </w:rPr>
  </w:style>
  <w:style w:type="paragraph" w:styleId="a8">
    <w:name w:val="Normal (Web)"/>
    <w:basedOn w:val="a"/>
    <w:uiPriority w:val="99"/>
    <w:semiHidden/>
    <w:unhideWhenUsed/>
    <w:rsid w:val="000A7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4737D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37D7"/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946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46371"/>
  </w:style>
  <w:style w:type="paragraph" w:styleId="ad">
    <w:name w:val="footer"/>
    <w:basedOn w:val="a"/>
    <w:link w:val="ae"/>
    <w:uiPriority w:val="99"/>
    <w:unhideWhenUsed/>
    <w:rsid w:val="00946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463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 Знак3"/>
    <w:basedOn w:val="a"/>
    <w:rsid w:val="00D93840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paragraph" w:styleId="a3">
    <w:name w:val="Body Text"/>
    <w:basedOn w:val="a"/>
    <w:link w:val="a4"/>
    <w:rsid w:val="009F44E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rsid w:val="009F44E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5">
    <w:name w:val="Hyperlink"/>
    <w:uiPriority w:val="99"/>
    <w:rsid w:val="009F44E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E27EC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2B1E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B1E4E"/>
    <w:rPr>
      <w:rFonts w:ascii="Courier New" w:eastAsia="Times New Roman" w:hAnsi="Courier New" w:cs="Courier New"/>
      <w:sz w:val="20"/>
      <w:szCs w:val="20"/>
    </w:rPr>
  </w:style>
  <w:style w:type="character" w:styleId="a7">
    <w:name w:val="Emphasis"/>
    <w:uiPriority w:val="99"/>
    <w:qFormat/>
    <w:rsid w:val="000C3859"/>
    <w:rPr>
      <w:i/>
      <w:iCs/>
    </w:rPr>
  </w:style>
  <w:style w:type="paragraph" w:styleId="a8">
    <w:name w:val="Normal (Web)"/>
    <w:basedOn w:val="a"/>
    <w:uiPriority w:val="99"/>
    <w:semiHidden/>
    <w:unhideWhenUsed/>
    <w:rsid w:val="000A7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4737D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37D7"/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946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46371"/>
  </w:style>
  <w:style w:type="paragraph" w:styleId="ad">
    <w:name w:val="footer"/>
    <w:basedOn w:val="a"/>
    <w:link w:val="ae"/>
    <w:uiPriority w:val="99"/>
    <w:unhideWhenUsed/>
    <w:rsid w:val="00946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46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kmu.gov.ua/npas/deiaki-pytannia-oplaty-pratsi-pedahohichnykh-pratsivnykiv-zakladiv-zahalnoi-s12868112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i.org/10.15407/econlaw.2022.02.09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on.rada.gov.ua/laws/show/2102-2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resident.gov.ua/documents/642022-4139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kon3.rada.gov.ua/laws/show/995_01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8936D-5966-42B5-B49D-4DBDAE3F5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5</Pages>
  <Words>1677</Words>
  <Characters>9560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Admin</cp:lastModifiedBy>
  <cp:revision>82</cp:revision>
  <dcterms:created xsi:type="dcterms:W3CDTF">2024-02-05T20:31:00Z</dcterms:created>
  <dcterms:modified xsi:type="dcterms:W3CDTF">2025-01-05T11:53:00Z</dcterms:modified>
</cp:coreProperties>
</file>