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72" w:lineRule="auto"/>
        <w:ind w:left="262" w:right="1114" w:firstLine="0"/>
        <w:jc w:val="center"/>
        <w:rPr>
          <w:sz w:val="15"/>
          <w:szCs w:val="15"/>
        </w:rPr>
      </w:pPr>
      <w:r w:rsidDel="00000000" w:rsidR="00000000" w:rsidRPr="00000000">
        <w:rPr>
          <w:sz w:val="15"/>
          <w:szCs w:val="15"/>
          <w:rtl w:val="0"/>
        </w:rPr>
        <w:t xml:space="preserve">Черкаський національний університет імені Богдана Хмельницького (м. Черкаси, Україна) Черкаська обласна державна адміністрація (м. Черкаси, Україна)</w:t>
      </w:r>
    </w:p>
    <w:p w:rsidR="00000000" w:rsidDel="00000000" w:rsidP="00000000" w:rsidRDefault="00000000" w:rsidRPr="00000000" w14:paraId="00000002">
      <w:pPr>
        <w:spacing w:before="1" w:line="172" w:lineRule="auto"/>
        <w:ind w:left="260" w:right="1116" w:firstLine="0"/>
        <w:jc w:val="center"/>
        <w:rPr>
          <w:sz w:val="15"/>
          <w:szCs w:val="15"/>
        </w:rPr>
      </w:pPr>
      <w:r w:rsidDel="00000000" w:rsidR="00000000" w:rsidRPr="00000000">
        <w:rPr>
          <w:sz w:val="15"/>
          <w:szCs w:val="15"/>
          <w:rtl w:val="0"/>
        </w:rPr>
        <w:t xml:space="preserve">Бєльцький державний університет імені Алеку Руссо (м. Бєльці, Молдова)</w:t>
      </w:r>
    </w:p>
    <w:p w:rsidR="00000000" w:rsidDel="00000000" w:rsidP="00000000" w:rsidRDefault="00000000" w:rsidRPr="00000000" w14:paraId="00000003">
      <w:pPr>
        <w:ind w:left="262" w:right="1116" w:firstLine="0"/>
        <w:jc w:val="center"/>
        <w:rPr>
          <w:sz w:val="15"/>
          <w:szCs w:val="15"/>
        </w:rPr>
      </w:pPr>
      <w:r w:rsidDel="00000000" w:rsidR="00000000" w:rsidRPr="00000000">
        <w:rPr>
          <w:sz w:val="13"/>
          <w:szCs w:val="13"/>
          <w:rtl w:val="0"/>
        </w:rPr>
        <w:t xml:space="preserve">Вищий навчальний заклад Укоопспілки «Полтавський університет економіки і торгівлі» (м. Полтава, Україна) </w:t>
      </w:r>
      <w:r w:rsidDel="00000000" w:rsidR="00000000" w:rsidRPr="00000000">
        <w:rPr>
          <w:sz w:val="15"/>
          <w:szCs w:val="15"/>
          <w:rtl w:val="0"/>
        </w:rPr>
        <w:t xml:space="preserve">Гомельський державний університет імені Франциска Скорини (м. Гомель, Білорусь) Господарська академія ім. Д.А. Ценова (м. Свіштов, Болгарія)</w:t>
      </w:r>
    </w:p>
    <w:p w:rsidR="00000000" w:rsidDel="00000000" w:rsidP="00000000" w:rsidRDefault="00000000" w:rsidRPr="00000000" w14:paraId="00000004">
      <w:pPr>
        <w:spacing w:before="2" w:line="237" w:lineRule="auto"/>
        <w:ind w:left="678" w:right="1536" w:firstLine="0"/>
        <w:jc w:val="center"/>
        <w:rPr>
          <w:sz w:val="15"/>
          <w:szCs w:val="15"/>
        </w:rPr>
      </w:pPr>
      <w:r w:rsidDel="00000000" w:rsidR="00000000" w:rsidRPr="00000000">
        <w:rPr>
          <w:sz w:val="15"/>
          <w:szCs w:val="15"/>
          <w:rtl w:val="0"/>
        </w:rPr>
        <w:t xml:space="preserve">Євразійський національний університет ім. Л.Н. Гумільова (м. Астана, Казахстан) Європейський університет Віадріна (м. Франкфурт-на-Одері, Німеччина) Київський національний університет імені Тараса Шевченка (м. Київ, Україна) Краківський економічний університет (м. Краків, Польща)</w:t>
      </w:r>
    </w:p>
    <w:p w:rsidR="00000000" w:rsidDel="00000000" w:rsidP="00000000" w:rsidRDefault="00000000" w:rsidRPr="00000000" w14:paraId="00000005">
      <w:pPr>
        <w:spacing w:before="2" w:lineRule="auto"/>
        <w:ind w:left="867" w:right="1725" w:firstLine="4.000000000000057"/>
        <w:jc w:val="center"/>
        <w:rPr>
          <w:sz w:val="15"/>
          <w:szCs w:val="15"/>
        </w:rPr>
      </w:pPr>
      <w:r w:rsidDel="00000000" w:rsidR="00000000" w:rsidRPr="00000000">
        <w:rPr>
          <w:sz w:val="15"/>
          <w:szCs w:val="15"/>
          <w:rtl w:val="0"/>
        </w:rPr>
        <w:t xml:space="preserve">Педагогічний Університет ім. Комісії народної освіти (м. Краків, Польща) Тбіліський державний університет ім. Іване Джавахішвілі (м. Тбілісі, Грузія) Уманський національний університет садівництва (м. Умань, Україна) Університет Марії Кюрі-Складовської (м. Люблін, Польща)</w:t>
      </w:r>
    </w:p>
    <w:p w:rsidR="00000000" w:rsidDel="00000000" w:rsidP="00000000" w:rsidRDefault="00000000" w:rsidRPr="00000000" w14:paraId="00000006">
      <w:pPr>
        <w:spacing w:before="1" w:lineRule="auto"/>
        <w:ind w:left="262" w:right="1116" w:firstLine="0"/>
        <w:jc w:val="center"/>
        <w:rPr>
          <w:sz w:val="15"/>
          <w:szCs w:val="15"/>
        </w:rPr>
      </w:pPr>
      <w:r w:rsidDel="00000000" w:rsidR="00000000" w:rsidRPr="00000000">
        <w:rPr>
          <w:sz w:val="15"/>
          <w:szCs w:val="15"/>
          <w:rtl w:val="0"/>
        </w:rPr>
        <w:t xml:space="preserve">Центральноукраїнський національний технічний університет (м. Кропивницький, Україна) Всеукраїнська громадська організація «Туристична палата України» (м. Київ, Україна)</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E">
      <w:pPr>
        <w:spacing w:line="362" w:lineRule="auto"/>
        <w:ind w:left="876" w:right="1691" w:firstLine="647.0000000000002"/>
        <w:rPr>
          <w:b w:val="1"/>
          <w:sz w:val="28"/>
          <w:szCs w:val="28"/>
        </w:rPr>
      </w:pPr>
      <w:r w:rsidDel="00000000" w:rsidR="00000000" w:rsidRPr="00000000">
        <w:rPr>
          <w:b w:val="1"/>
          <w:sz w:val="28"/>
          <w:szCs w:val="28"/>
          <w:rtl w:val="0"/>
        </w:rPr>
        <w:t xml:space="preserve">ТУРИЗМ І ГОСТИННІСТЬ: СТАН, ПРОБЛЕМИ, ПЕРСПЕКТИВИ</w:t>
      </w:r>
    </w:p>
    <w:p w:rsidR="00000000" w:rsidDel="00000000" w:rsidP="00000000" w:rsidRDefault="00000000" w:rsidRPr="00000000" w14:paraId="0000000F">
      <w:pPr>
        <w:spacing w:before="227" w:line="362" w:lineRule="auto"/>
        <w:ind w:left="1577" w:right="2436" w:firstLine="1.9999999999998863"/>
        <w:jc w:val="center"/>
        <w:rPr>
          <w:b w:val="1"/>
          <w:i w:val="1"/>
          <w:sz w:val="24"/>
          <w:szCs w:val="24"/>
        </w:rPr>
      </w:pPr>
      <w:r w:rsidDel="00000000" w:rsidR="00000000" w:rsidRPr="00000000">
        <w:rPr>
          <w:b w:val="1"/>
          <w:i w:val="1"/>
          <w:sz w:val="24"/>
          <w:szCs w:val="24"/>
          <w:rtl w:val="0"/>
        </w:rPr>
        <w:t xml:space="preserve">Матеріали ІV Міжнародної науково-практичної конференції</w:t>
      </w:r>
    </w:p>
    <w:p w:rsidR="00000000" w:rsidDel="00000000" w:rsidP="00000000" w:rsidRDefault="00000000" w:rsidRPr="00000000" w14:paraId="00000010">
      <w:pPr>
        <w:spacing w:before="221" w:lineRule="auto"/>
        <w:ind w:left="262" w:right="1089" w:firstLine="0"/>
        <w:jc w:val="center"/>
        <w:rPr>
          <w:i w:val="1"/>
          <w:sz w:val="20"/>
          <w:szCs w:val="20"/>
        </w:rPr>
      </w:pPr>
      <w:r w:rsidDel="00000000" w:rsidR="00000000" w:rsidRPr="00000000">
        <w:rPr>
          <w:i w:val="1"/>
          <w:sz w:val="20"/>
          <w:szCs w:val="20"/>
          <w:rtl w:val="0"/>
        </w:rPr>
        <w:t xml:space="preserve">(18–19 жовтня 2018 р., м. Черкаси)</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1"/>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2" w:right="1089"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Черкаси</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4" w:right="274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sectPr>
          <w:pgSz w:h="11910" w:w="8400" w:orient="portrait"/>
          <w:pgMar w:bottom="280" w:top="940" w:left="860" w:right="0" w:header="708" w:footer="708"/>
          <w:pgNumType w:start="1"/>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Видавець Олександр Третяков 2018</w:t>
      </w:r>
    </w:p>
    <w:p w:rsidR="00000000" w:rsidDel="00000000" w:rsidP="00000000" w:rsidRDefault="00000000" w:rsidRPr="00000000" w14:paraId="0000001B">
      <w:pPr>
        <w:spacing w:before="78" w:line="207" w:lineRule="auto"/>
        <w:ind w:left="162" w:firstLine="0"/>
        <w:rPr>
          <w:b w:val="1"/>
          <w:sz w:val="18"/>
          <w:szCs w:val="18"/>
        </w:rPr>
      </w:pPr>
      <w:r w:rsidDel="00000000" w:rsidR="00000000" w:rsidRPr="00000000">
        <w:rPr>
          <w:b w:val="1"/>
          <w:sz w:val="18"/>
          <w:szCs w:val="18"/>
          <w:rtl w:val="0"/>
        </w:rPr>
        <w:t xml:space="preserve">УДК 338.48:33214</w:t>
      </w:r>
    </w:p>
    <w:p w:rsidR="00000000" w:rsidDel="00000000" w:rsidP="00000000" w:rsidRDefault="00000000" w:rsidRPr="00000000" w14:paraId="0000001C">
      <w:pPr>
        <w:spacing w:line="206" w:lineRule="auto"/>
        <w:ind w:left="162" w:firstLine="0"/>
        <w:rPr>
          <w:b w:val="1"/>
          <w:sz w:val="18"/>
          <w:szCs w:val="18"/>
        </w:rPr>
      </w:pPr>
      <w:r w:rsidDel="00000000" w:rsidR="00000000" w:rsidRPr="00000000">
        <w:rPr>
          <w:b w:val="1"/>
          <w:sz w:val="18"/>
          <w:szCs w:val="18"/>
          <w:rtl w:val="0"/>
        </w:rPr>
        <w:t xml:space="preserve">ББК 65.43</w:t>
      </w:r>
    </w:p>
    <w:p w:rsidR="00000000" w:rsidDel="00000000" w:rsidP="00000000" w:rsidRDefault="00000000" w:rsidRPr="00000000" w14:paraId="0000001D">
      <w:pPr>
        <w:spacing w:line="207" w:lineRule="auto"/>
        <w:ind w:left="570" w:firstLine="0"/>
        <w:rPr>
          <w:b w:val="1"/>
          <w:sz w:val="18"/>
          <w:szCs w:val="18"/>
        </w:rPr>
      </w:pPr>
      <w:r w:rsidDel="00000000" w:rsidR="00000000" w:rsidRPr="00000000">
        <w:rPr>
          <w:b w:val="1"/>
          <w:sz w:val="18"/>
          <w:szCs w:val="18"/>
          <w:rtl w:val="0"/>
        </w:rPr>
        <w:t xml:space="preserve">Т 88</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spacing w:before="173" w:lineRule="auto"/>
        <w:ind w:left="162" w:firstLine="0"/>
        <w:rPr>
          <w:b w:val="1"/>
          <w:sz w:val="19"/>
          <w:szCs w:val="19"/>
        </w:rPr>
      </w:pPr>
      <w:r w:rsidDel="00000000" w:rsidR="00000000" w:rsidRPr="00000000">
        <w:rPr>
          <w:sz w:val="19"/>
          <w:szCs w:val="19"/>
          <w:u w:val="single"/>
          <w:rtl w:val="0"/>
        </w:rPr>
        <w:t xml:space="preserve">Рецензент</w:t>
      </w:r>
      <w:r w:rsidDel="00000000" w:rsidR="00000000" w:rsidRPr="00000000">
        <w:rPr>
          <w:b w:val="1"/>
          <w:sz w:val="19"/>
          <w:szCs w:val="19"/>
          <w:rtl w:val="0"/>
        </w:rPr>
        <w:t xml:space="preserve">:</w:t>
      </w:r>
    </w:p>
    <w:p w:rsidR="00000000" w:rsidDel="00000000" w:rsidP="00000000" w:rsidRDefault="00000000" w:rsidRPr="00000000" w14:paraId="00000020">
      <w:pPr>
        <w:spacing w:before="45" w:line="288" w:lineRule="auto"/>
        <w:ind w:left="704" w:right="1015" w:hanging="543"/>
        <w:jc w:val="both"/>
        <w:rPr>
          <w:sz w:val="19"/>
          <w:szCs w:val="19"/>
        </w:rPr>
      </w:pPr>
      <w:r w:rsidDel="00000000" w:rsidR="00000000" w:rsidRPr="00000000">
        <w:rPr>
          <w:b w:val="1"/>
          <w:sz w:val="19"/>
          <w:szCs w:val="19"/>
          <w:rtl w:val="0"/>
        </w:rPr>
        <w:t xml:space="preserve">Петкова Л.О.</w:t>
      </w:r>
      <w:r w:rsidDel="00000000" w:rsidR="00000000" w:rsidRPr="00000000">
        <w:rPr>
          <w:sz w:val="19"/>
          <w:szCs w:val="19"/>
          <w:rtl w:val="0"/>
        </w:rPr>
        <w:t xml:space="preserve">, завідувач кафедри міжнародної економіки Черкаського державного технологічного університету, доктор економічних наук, професор</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2">
      <w:pPr>
        <w:spacing w:line="312" w:lineRule="auto"/>
        <w:ind w:left="435" w:right="1283" w:firstLine="891.9999999999999"/>
        <w:rPr>
          <w:i w:val="1"/>
          <w:sz w:val="19"/>
          <w:szCs w:val="19"/>
        </w:rPr>
      </w:pPr>
      <w:r w:rsidDel="00000000" w:rsidR="00000000" w:rsidRPr="00000000">
        <w:rPr>
          <w:i w:val="1"/>
          <w:sz w:val="19"/>
          <w:szCs w:val="19"/>
          <w:rtl w:val="0"/>
        </w:rPr>
        <w:t xml:space="preserve">Рекомендовано до друку на засіданні Вченої ради Черкаського національного університету імені Богдана Хмельницького</w:t>
      </w:r>
    </w:p>
    <w:p w:rsidR="00000000" w:rsidDel="00000000" w:rsidP="00000000" w:rsidRDefault="00000000" w:rsidRPr="00000000" w14:paraId="00000023">
      <w:pPr>
        <w:spacing w:before="3" w:lineRule="auto"/>
        <w:ind w:left="2106" w:firstLine="0"/>
        <w:rPr>
          <w:i w:val="1"/>
          <w:sz w:val="19"/>
          <w:szCs w:val="19"/>
        </w:rPr>
      </w:pPr>
      <w:r w:rsidDel="00000000" w:rsidR="00000000" w:rsidRPr="00000000">
        <w:rPr>
          <w:i w:val="1"/>
          <w:sz w:val="19"/>
          <w:szCs w:val="19"/>
          <w:rtl w:val="0"/>
        </w:rPr>
        <w:t xml:space="preserve">(протокол № 1 від 30.08.2018)</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spacing w:before="118" w:line="290" w:lineRule="auto"/>
        <w:ind w:left="2259" w:right="3114" w:firstLine="0.9999999999999432"/>
        <w:jc w:val="center"/>
        <w:rPr>
          <w:sz w:val="19"/>
          <w:szCs w:val="19"/>
        </w:rPr>
      </w:pPr>
      <w:r w:rsidDel="00000000" w:rsidR="00000000" w:rsidRPr="00000000">
        <w:rPr>
          <w:sz w:val="19"/>
          <w:szCs w:val="19"/>
          <w:rtl w:val="0"/>
        </w:rPr>
        <w:t xml:space="preserve">Відповідальні за випуск В.І. Новикова, С.Р. Пасєка</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8">
      <w:pPr>
        <w:spacing w:before="93" w:line="290" w:lineRule="auto"/>
        <w:ind w:left="162" w:right="1289" w:firstLine="0"/>
        <w:rPr>
          <w:sz w:val="20"/>
          <w:szCs w:val="20"/>
        </w:rPr>
      </w:pPr>
      <w:r w:rsidDel="00000000" w:rsidR="00000000" w:rsidRPr="00000000">
        <w:rPr>
          <w:b w:val="1"/>
          <w:sz w:val="20"/>
          <w:szCs w:val="20"/>
          <w:rtl w:val="0"/>
        </w:rPr>
        <w:t xml:space="preserve">Туризм і гостинність: стан, проблеми, перспективи </w:t>
      </w:r>
      <w:r w:rsidDel="00000000" w:rsidR="00000000" w:rsidRPr="00000000">
        <w:rPr>
          <w:sz w:val="20"/>
          <w:szCs w:val="20"/>
          <w:rtl w:val="0"/>
        </w:rPr>
        <w:t xml:space="preserve">: матер. ІV Міжнар. наук.-практ. конф. (18–19 жовтня 2018 р.,</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6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 Черкаси). – Черкаси : Вид-ць О.М. Третяков, 2018. – 304 с.</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spacing w:before="1" w:line="256" w:lineRule="auto"/>
        <w:ind w:left="301" w:right="982" w:firstLine="291.99999999999994"/>
        <w:jc w:val="both"/>
        <w:rPr>
          <w:sz w:val="18"/>
          <w:szCs w:val="18"/>
        </w:rPr>
      </w:pPr>
      <w:r w:rsidDel="00000000" w:rsidR="00000000" w:rsidRPr="00000000">
        <w:rPr>
          <w:sz w:val="18"/>
          <w:szCs w:val="18"/>
          <w:rtl w:val="0"/>
        </w:rPr>
        <w:t xml:space="preserve">У збірнику представлені статті вчених, молодих дослідників, представників туристського бізнесу, присвячені теоретичним і прикладним питанням туризму і гостинності, маркетингу та менеджменту у сфері туризму і гостинності, економічним проблемам у розвитку туризму і готельно-ресторанного бізнесу, професійному розвитку персоналу і корпоративній культурі,  формуванню соціального капіталу у сфері туризму та готельно-ресторанного бізнесу, інфраструктурі туризму, аспектам конкурентоспроможності підприємств туристичної галузі, розвитку окремих видів туризму, організації дозвілля та відпочинку туристів, міжнародному співробітництву в галузі туризму.</w:t>
      </w:r>
    </w:p>
    <w:p w:rsidR="00000000" w:rsidDel="00000000" w:rsidP="00000000" w:rsidRDefault="00000000" w:rsidRPr="00000000" w14:paraId="0000002C">
      <w:pPr>
        <w:spacing w:before="6" w:lineRule="auto"/>
        <w:ind w:right="985"/>
        <w:jc w:val="right"/>
        <w:rPr>
          <w:b w:val="1"/>
          <w:sz w:val="18"/>
          <w:szCs w:val="18"/>
        </w:rPr>
      </w:pPr>
      <w:r w:rsidDel="00000000" w:rsidR="00000000" w:rsidRPr="00000000">
        <w:rPr>
          <w:b w:val="1"/>
          <w:sz w:val="18"/>
          <w:szCs w:val="18"/>
          <w:rtl w:val="0"/>
        </w:rPr>
        <w:t xml:space="preserve">ББК 65.43</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8">
      <w:pPr>
        <w:tabs>
          <w:tab w:val="left" w:leader="none" w:pos="2587"/>
        </w:tabs>
        <w:spacing w:before="1" w:lineRule="auto"/>
        <w:ind w:right="1045"/>
        <w:jc w:val="right"/>
        <w:rPr>
          <w:sz w:val="20"/>
          <w:szCs w:val="20"/>
        </w:rPr>
      </w:pPr>
      <w:r w:rsidDel="00000000" w:rsidR="00000000" w:rsidRPr="00000000">
        <w:rPr>
          <w:b w:val="1"/>
          <w:sz w:val="20"/>
          <w:szCs w:val="20"/>
          <w:rtl w:val="0"/>
        </w:rPr>
        <w:t xml:space="preserve">ISBN 978-617-7318-77-3</w:t>
        <w:tab/>
      </w:r>
      <w:r w:rsidDel="00000000" w:rsidR="00000000" w:rsidRPr="00000000">
        <w:rPr>
          <w:sz w:val="20"/>
          <w:szCs w:val="20"/>
          <w:rtl w:val="0"/>
        </w:rPr>
        <w:t xml:space="preserve">© ЧНУ імені Богдана Хмельницького, 2018</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2093595</wp:posOffset>
                </wp:positionH>
                <wp:positionV relativeFrom="paragraph">
                  <wp:posOffset>935355</wp:posOffset>
                </wp:positionV>
                <wp:extent cx="50800" cy="111760"/>
                <wp:effectExtent b="0" l="1270" r="0" t="3810"/>
                <wp:wrapNone/>
                <wp:docPr id="1" name=""/>
                <a:graphic>
                  <a:graphicData uri="http://schemas.microsoft.com/office/word/2010/wordprocessingShape">
                    <wps:wsp>
                      <wps:cNvSpPr txBox="1">
                        <a:spLocks noChangeArrowheads="1"/>
                      </wps:cNvSpPr>
                      <wps:spPr bwMode="auto">
                        <a:xfrm>
                          <a:off x="0" y="0"/>
                          <a:ext cx="50800" cy="111760"/>
                        </a:xfrm>
                        <a:prstGeom prst="rect">
                          <a:avLst/>
                        </a:prstGeom>
                        <a:noFill/>
                        <a:ln>
                          <a:noFill/>
                        </a:ln>
                        <a:extLst>
                          <a:ext uri="{909E8E84-426E-40DD-AFC4-6F175D3DCCD1}"/>
                          <a:ext uri="{91240B29-F687-4F45-9708-019B960494DF}"/>
                        </a:extLst>
                      </wps:spPr>
                      <wps:txbx>
                        <w:txbxContent>
                          <w:p w:rsidR="001B0A68" w:rsidDel="00000000" w:rsidP="001B0A68" w:rsidRDefault="001B0A68" w:rsidRPr="00000000">
                            <w:pPr>
                              <w:spacing w:line="175" w:lineRule="exact"/>
                              <w:rPr>
                                <w:sz w:val="16"/>
                              </w:rPr>
                            </w:pPr>
                            <w:r w:rsidDel="00000000" w:rsidR="00000000" w:rsidRPr="00000000">
                              <w:rPr>
                                <w:w w:val="98"/>
                                <w:sz w:val="16"/>
                              </w:rPr>
                              <w:t>2</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2093595</wp:posOffset>
                </wp:positionH>
                <wp:positionV relativeFrom="paragraph">
                  <wp:posOffset>935355</wp:posOffset>
                </wp:positionV>
                <wp:extent cx="52070" cy="11557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070" cy="115570"/>
                        </a:xfrm>
                        <a:prstGeom prst="rect"/>
                        <a:ln/>
                      </pic:spPr>
                    </pic:pic>
                  </a:graphicData>
                </a:graphic>
              </wp:anchor>
            </w:drawing>
          </mc:Fallback>
        </mc:AlternateContent>
      </w:r>
    </w:p>
    <w:p w:rsidR="00000000" w:rsidDel="00000000" w:rsidP="00000000" w:rsidRDefault="00000000" w:rsidRPr="00000000" w14:paraId="00000039">
      <w:pPr>
        <w:ind w:left="1486" w:right="1012" w:firstLine="1670.0000000000002"/>
        <w:jc w:val="right"/>
        <w:rPr>
          <w:b w:val="1"/>
          <w:i w:val="1"/>
          <w:sz w:val="20"/>
          <w:szCs w:val="20"/>
        </w:rPr>
      </w:pPr>
      <w:r w:rsidDel="00000000" w:rsidR="00000000" w:rsidRPr="00000000">
        <w:rPr>
          <w:b w:val="1"/>
          <w:sz w:val="20"/>
          <w:szCs w:val="20"/>
          <w:rtl w:val="0"/>
        </w:rPr>
        <w:t xml:space="preserve">Рогова Н.В., Кущ Л.І., Рибакова С.С. </w:t>
      </w:r>
      <w:r w:rsidDel="00000000" w:rsidR="00000000" w:rsidRPr="00000000">
        <w:rPr>
          <w:b w:val="1"/>
          <w:i w:val="1"/>
          <w:sz w:val="20"/>
          <w:szCs w:val="20"/>
          <w:rtl w:val="0"/>
        </w:rPr>
        <w:t xml:space="preserve">Вищий навчальний заклад Укоопспілки «Полтавський університет економіки і торгівлі», м. Полтава, Україна</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pStyle w:val="Heading2"/>
        <w:ind w:left="1035" w:right="1890" w:firstLine="676"/>
        <w:rPr/>
      </w:pPr>
      <w:r w:rsidDel="00000000" w:rsidR="00000000" w:rsidRPr="00000000">
        <w:rPr>
          <w:rtl w:val="0"/>
        </w:rPr>
        <w:t xml:space="preserve">СІЛЬСЬКИЙ ЗЕЛЕНИЙ ТУРИЗМ: ПЕРСПЕКТИВИ РОЗВИТКУ НА ПОЛТАВЩИНІ</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8" w:lineRule="auto"/>
        <w:ind w:left="161" w:right="1011" w:firstLine="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Актуальність наукового питання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зумовлена якісно новими підходами до підвищення конкурентоспроможності сфери сільського туризму, розвитку агротуризму і соціального розвитку села. Розвиток туризму в нашій країні особливо актуальний, оскільки саме завдяки йому Україна може поліпшити соціально-економічну ситуацію. Зважаючи на місце і роль туризму в житті суспільства, держава проголошує його одним із пріоритетних напрямів розвитку національної культури та економіки. Сьогодні як у світі, так і в Україні спостерігається тенденція до зростання зацікавленості сільським відпочинком у формі проживання і проведення вільного часу. Актуальною на Заході є тема розвитку сільських територій, збереження культурної спадщини села, пошук додаткових джерел доходу, створення нових робочих місць. Функціонування сільського туризму повинно стати цікавим і  для України, оскільки він стимулює не тільки соціально-економічний розвиток сільської місцевості, покращення комунікаційної структури, а й можливість розвитку людської індивідуальності.</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61" w:right="1012" w:firstLine="566"/>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1910" w:w="8400" w:orient="portrait"/>
          <w:pgMar w:bottom="500" w:top="940" w:left="860" w:right="0" w:header="0" w:footer="316"/>
        </w:sect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Вивченість питання в науковій літературі</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Питання обґрунтування перспектив розвитку сільського зеленого туризму викликає значний інтерес у зарубіжних і вітчизняних дослідників. Зокрема пошуком шляхів розвитку сільського зеленого туризму як напряму підприємницької діяльності присвячено праці таких учених, як А. Амоша,    І. Балабанов,    В. Брус,    В. Гловацька,    П. Горішевський, Ю. Губеня,      В. Данильчук,      Н. Кудла,      Н. Липчук,      Л. Мармуль, С. Пономарьов, В. Цибух, Г. Черевко та ін. Поряд з цим, у науковців та у практиків ще немає однозначної думки щодо визначення сутності та</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88" w:lineRule="auto"/>
        <w:ind w:left="162" w:right="101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основних принципів розвитку сільського зеленого туризму як одного з видів несільськогосподарського підприємництва на селі, оскільки у нашій країні цей вид діяльності ще фактично тільки починає розвиватись та має досить значні регіональні відмінності.</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62" w:right="1023" w:firstLine="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Мета дослідження</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Узагальнення підходів до визначення сутності категорії «сільський зелений туризм», визначення передумов та перспектив його розвитку на Полтавщині.</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62" w:right="1010" w:firstLine="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Виклад основного матеріалу</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Полтавщину здавна називають духовною столицею України, вона також має сприятливі умови для розвитку готельного господарства і сфери розваг. Полтавський регіон має багаті туристичні можливості, які на сьогодні використовуються не в повній мірі. Це, перш за все, пояснюється багатогранною спадщиною, неповторною красою краю, збереження давніх традицій народного промислу району, цілющі мінеральні води, екологічні чисті зони та інше.</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61" w:right="1011" w:firstLine="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Полтавський край пропонує туристам відпочинок на мальовничих берегах Ворскли, Псла, Хорола, Сули, чудодійну миргородську мінеральну воду, знайомство із столицею українського гончарства, відвідини меморіальних та етнографічних музеїв Диканьки, Опішні, Миргорода, гірськолижних баз «Корчак», «Сорочин Яр», участь у міжнародних ярмарках національних та іноземних виробників продукції з театралізованими виставами у Великих Сорочинцях. Неповторна самобутність і краса Полтавського краю, його багата  історична спадщина, шанобливо збережені давні традиції народних промислів, екологічно чисті зони та цілющі мінеральні води обумовлюють важливе значення Полтавщини як центру туризму та відпочинку. Вся сукупність природних, етнокультурних та соціально-демографічних ресурсів дозволяє позиціонувати даний регіон України як перспективний для розвитку зеленого туризму та надання відповідних послуг.</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61" w:right="1017" w:firstLine="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Перевагами зеленого туризму є чисте повітря, природа, близьке знайомство з культурними традиціями регіону, низька вартість послуг за проживання та харчування у порівнянні із традиційними готелями і базами відпочинку.</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61" w:right="1023" w:firstLine="566"/>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1910" w:w="8400" w:orient="portrait"/>
          <w:pgMar w:bottom="500" w:top="940" w:left="860" w:right="0" w:header="0" w:footer="316"/>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Останнім часом у регіоні зростає інтерес населення до туристичної діяльності, а саме – надання послуг відпочиваючим у приватних господарствах сільської місцевості. Зараз в області зеленим туризмом</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85" w:lineRule="auto"/>
        <w:ind w:left="162" w:right="1019"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зайняті 78 приватних садиб, які зареєстровані офіційно. Одними з таких засобів розміщення є гостьовий двір «Старий хутір» та агросадиба</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88" w:lineRule="auto"/>
        <w:ind w:left="162" w:right="102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«Лялина світлиця» в с. Опішня. Поряд із традиційним переліком послуг, власники приватних господарств пропонують транспорт, піші екскурсії до ландшафтних парків, послуги гіда-перекладача, рибальство і полювання, кінні прогулянки, збирання грибів та ягід.</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61" w:right="1017" w:firstLine="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Наявні природно-культурні ресурси та фактична відсутність конкуренції роблять даний регіон дуже вигідним та привабливим для створення високоякісної туристичної основи та надання послуг зеленого туризму. А враховуючи зростаючий надлишок робочої сили як в українських селах в цілому, так і на Полтавщині, можна говорити про те, що розвиток сільського туризму значно збільшить доходи селян, що поліпшить економічний розвиток полтавських сіл. Приїзд туристів сприятиме більшому піклуванню, а відтак, кращому збереженню культурно-історичних пам’яток регіону, будуть створюватися нові робочі місця в сфері обслуговування, медицини, транспортній мережі, які зможуть надати роботу і випускникам вищих навчальних закладів [1].</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61" w:right="1013" w:firstLine="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Розвиток сільського зеленого туризму спонукає до покращення благоустрою сільських садиб, вулиць, сіл в цілому; стимулює розвиток соціальної інфраструктури. Звичайно, на перших порах приймання і обслуговування гостей відбувається на базі існуючого житлового фонду з використанням місцевих рекреаційних та інфраструктурних ресурсів. Але з певним надходженням коштів від цієї діяльності ті, хто нею займається, починають робити вкладення у поліпшення комунального облаштування житла, вулиць; об’єднаними зусиллями добиваються змін на краще сфери гостинності. А це одночасно й вагомий внесок у розвиток села.</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61" w:right="1011" w:firstLine="566"/>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1910" w:w="8400" w:orient="portrait"/>
          <w:pgMar w:bottom="500" w:top="940" w:left="860" w:right="0" w:header="0" w:footer="316"/>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 Полтавській області є всі передумови для розвитку інфраструктури зеленого туризму. Для стимулювання  сільського зеленого туризму на Полтавщині, першочергово планується: організація та проведення навчання всіх категорій населення, зайнятих у сфері сільського зеленого туризму; збір та систематизація інформації про туристичний продукт місцевості, створення необхідних баз даних; доробка вже діючих та розробка нових туристичних маршрутів; інформаційна підтримка сільського зеленого туризму та доступ зацікавлених підприємців до інформаційних ресурсів; організація та</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61" w:right="1011" w:firstLine="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проведення спільних акцій і програм місцевої влади, громадських організацій та підприємців, задіяних в сільському зеленому туризмі; проведення інформаційних просвітницьких компаній через місцеві та регіональні ЗМІ про перспективи та переваги сільського зеленого туризму [1]. Розроблено понад 10 маршрутів зеленого туризму в області, які пролягають через районні складові кластеру.</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61" w:right="1011" w:firstLine="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Провівши оцінку розвитку сільського зеленого туризму за допомогою чинників різного впливу, можна запропонувати такі напрями вдосконалення цієї галузі на Полтавщині:</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61" w:right="1011" w:firstLine="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провести категоризацію приватних садиб, яка дасть змогу забезпечити прозорість пропозиції для споживачів; контроль якості туристичного продукту; різноманітність пропозиції туристичних послуг та різницю в ціні;</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61" w:right="1011" w:firstLine="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створити нові джерела фінансово-інвестиційного спрямування через впровадження грантів, преференційних мікрокредитів;</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61" w:right="1011" w:firstLine="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сформувати інформаційно-маркетингову службу,  функціонування якої базувалося б на виконанні широкого спектру послуг для туристів та підприємців (проведення нових досліджень з вивчення та прогнозування попиту на туристичні послуги тощо);</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61" w:right="1011" w:firstLine="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забезпечити налагодження потужної реклами, випуск високоякісного інформаційно-довідкового матеріалу;</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61" w:right="1011" w:firstLine="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вдосконалити виробничу інфраструктуру, орієнтовану на народні ремесла та виробництво на їхній основі характерних для цього регіону сувенірів.</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61" w:right="1011" w:firstLine="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Головною рушійною силою бурхливого розвитку сільського зеленого туризму є швидко зростаючий попит на рекреацію на природі. Створено банк даних інвестиційних проектів галузі, в який увійшло 40 пропозицій з усіх районів області [2]. У ньому гадяцький ландшафтний історико-культурний туристично-оздоровчий парк «Гетьманська столиця» та розбудова туристичної інфраструктури Гадяцького району; парк    відпочинку    «Кочубеївський»    історико-культурного  комплексу</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61" w:right="1011" w:firstLine="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«Диканька»,   смт Диканька;   влаштування    ландшафтного  дендропарку</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61" w:right="1011" w:firstLine="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f9mlwvjr86sr" w:id="0"/>
      <w:bookmarkEnd w:id="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«Диканський» з готельним комплексом, смт Диканька; будівництво санаторно-рекреаційного комплексу «Кришталевий Удай», м. Пирятин; відновлення     архітектурно-паркового     комплексу     та   реконструкція колишнього маєтку Закревських, с. Березова Рудка, Пирятинського району; відновлення архітектурно-паркового комплексу та реконструкція колишнього          маєтку          Муравйових-Апостолів,</w:t>
        <w:tab/>
        <w:t xml:space="preserve">с. Хомутець, Миргородського району та ін.</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61" w:right="1011" w:firstLine="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Висновки. Розвиток послуг зеленого туризму є перспективним у Полтавській області напрямом діяльності. І за сприятливих умов та продуктивному використанню можливостей сільський туризм може стати візитною карткою Полтавщини на міжнародному туристичному ринку, про що свідчить бажання іноземців познайомитись з історичним та природним потенціалом України. Розвиток сільського зеленого туризму в регіоні потребує значної підтримки на державному й регіональному рівні.</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61" w:right="1011" w:firstLine="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Перспективи розвитку туристичної інфраструктури на Полтавщині // Відділ туризму і курортів Головного управління інформаційної та внутрішньої політики Полтавської облдержадміністрації [Електронний ресурс]. – Режим доступу :</w:t>
      </w:r>
      <w:hyperlink r:id="rId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http://nadoest.com/perspektivi-rozvitku-turistichnoyi-infrastrukturi-na-poltavshi.</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61" w:right="1011" w:firstLine="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Шевченко І.В. Перспективи розвитку сільського зеленого туризму в Полтавському регіоні / І.В. Шевченко [Електронний ресурс]. – Режим доступу : </w:t>
      </w:r>
      <w:hyperlink r:id="rId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http://tourlib.net/statti_ukr/shevchenko.htm.</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61" w:right="1011" w:firstLine="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type w:val="nextPage"/>
      <w:pgSz w:h="11910" w:w="8400" w:orient="portrait"/>
      <w:pgMar w:bottom="850" w:top="850" w:left="1417" w:right="85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ind w:left="3017"/>
    </w:pPr>
    <w:rPr>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nadoest.com/perspektivi-rozvitku-turistichnoyi-infrastrukturi-na-poltavshi" TargetMode="External"/><Relationship Id="rId8" Type="http://schemas.openxmlformats.org/officeDocument/2006/relationships/hyperlink" Target="http://tourlib.net/statti_ukr/shevchenk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