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93" w:rsidRPr="00E67B25" w:rsidRDefault="00237E93" w:rsidP="00237E93">
      <w:pPr>
        <w:jc w:val="center"/>
        <w:rPr>
          <w:b/>
          <w:sz w:val="22"/>
          <w:szCs w:val="22"/>
          <w:lang w:val="uk-UA"/>
        </w:rPr>
      </w:pPr>
      <w:bookmarkStart w:id="0" w:name="_GoBack"/>
      <w:r w:rsidRPr="00E67B25">
        <w:rPr>
          <w:b/>
          <w:sz w:val="22"/>
          <w:szCs w:val="22"/>
          <w:lang w:val="uk-UA"/>
        </w:rPr>
        <w:t>Визначення якості соняшникової олії</w:t>
      </w:r>
    </w:p>
    <w:p w:rsidR="00E26232" w:rsidRPr="00E67B25" w:rsidRDefault="00237E93" w:rsidP="0076635C">
      <w:pPr>
        <w:spacing w:line="360" w:lineRule="auto"/>
        <w:jc w:val="center"/>
        <w:rPr>
          <w:b/>
          <w:sz w:val="22"/>
          <w:szCs w:val="22"/>
          <w:lang w:val="uk-UA"/>
        </w:rPr>
      </w:pPr>
      <w:r w:rsidRPr="00E67B25">
        <w:rPr>
          <w:b/>
          <w:sz w:val="22"/>
          <w:szCs w:val="22"/>
          <w:lang w:val="uk-UA"/>
        </w:rPr>
        <w:t xml:space="preserve">за </w:t>
      </w:r>
      <w:r w:rsidRPr="00E67B25">
        <w:rPr>
          <w:b/>
          <w:sz w:val="22"/>
          <w:szCs w:val="22"/>
          <w:lang w:val="uk-UA"/>
        </w:rPr>
        <w:t xml:space="preserve">фізико-хімічними </w:t>
      </w:r>
      <w:r w:rsidRPr="00E67B25">
        <w:rPr>
          <w:b/>
          <w:sz w:val="22"/>
          <w:szCs w:val="22"/>
          <w:lang w:val="uk-UA"/>
        </w:rPr>
        <w:t>показниками</w:t>
      </w:r>
    </w:p>
    <w:bookmarkEnd w:id="0"/>
    <w:p w:rsidR="0076635C" w:rsidRPr="00E67B25" w:rsidRDefault="0076635C" w:rsidP="0076635C">
      <w:pPr>
        <w:rPr>
          <w:sz w:val="22"/>
          <w:szCs w:val="22"/>
          <w:lang w:val="uk-UA"/>
        </w:rPr>
      </w:pPr>
      <w:r w:rsidRPr="00E67B25">
        <w:rPr>
          <w:b/>
          <w:i/>
          <w:sz w:val="22"/>
          <w:szCs w:val="22"/>
          <w:lang w:val="uk-UA"/>
        </w:rPr>
        <w:t xml:space="preserve"> Л. </w:t>
      </w:r>
      <w:proofErr w:type="spellStart"/>
      <w:r w:rsidRPr="00E67B25">
        <w:rPr>
          <w:b/>
          <w:i/>
          <w:sz w:val="22"/>
          <w:szCs w:val="22"/>
          <w:lang w:val="uk-UA"/>
        </w:rPr>
        <w:t>Томазенко</w:t>
      </w:r>
      <w:proofErr w:type="spellEnd"/>
      <w:r w:rsidRPr="00E67B25">
        <w:rPr>
          <w:i/>
          <w:sz w:val="22"/>
          <w:szCs w:val="22"/>
          <w:lang w:val="uk-UA"/>
        </w:rPr>
        <w:t>,</w:t>
      </w:r>
      <w:r w:rsidRPr="00E67B25">
        <w:rPr>
          <w:b/>
          <w:i/>
          <w:sz w:val="22"/>
          <w:szCs w:val="22"/>
          <w:lang w:val="uk-UA"/>
        </w:rPr>
        <w:t xml:space="preserve"> </w:t>
      </w:r>
      <w:r w:rsidRPr="00E67B25">
        <w:rPr>
          <w:i/>
          <w:sz w:val="22"/>
          <w:szCs w:val="22"/>
          <w:lang w:val="uk-UA"/>
        </w:rPr>
        <w:t>учениця 10 класу</w:t>
      </w:r>
      <w:r w:rsidRPr="00E67B25">
        <w:rPr>
          <w:i/>
          <w:sz w:val="22"/>
          <w:szCs w:val="22"/>
          <w:lang w:val="uk-UA"/>
        </w:rPr>
        <w:t xml:space="preserve"> </w:t>
      </w:r>
      <w:r w:rsidRPr="00E67B25">
        <w:rPr>
          <w:i/>
          <w:sz w:val="22"/>
          <w:szCs w:val="22"/>
          <w:lang w:val="uk-UA"/>
        </w:rPr>
        <w:t>Полтавської гімназії №6</w:t>
      </w:r>
      <w:r w:rsidRPr="00E67B25">
        <w:rPr>
          <w:i/>
          <w:sz w:val="22"/>
          <w:szCs w:val="22"/>
          <w:lang w:val="uk-UA"/>
        </w:rPr>
        <w:t>,</w:t>
      </w:r>
      <w:r w:rsidRPr="00E67B25">
        <w:rPr>
          <w:b/>
          <w:i/>
          <w:sz w:val="22"/>
          <w:szCs w:val="22"/>
          <w:lang w:val="uk-UA"/>
        </w:rPr>
        <w:t xml:space="preserve"> </w:t>
      </w:r>
      <w:r w:rsidRPr="00E67B25">
        <w:rPr>
          <w:b/>
          <w:i/>
          <w:sz w:val="22"/>
          <w:szCs w:val="22"/>
          <w:lang w:val="uk-UA"/>
        </w:rPr>
        <w:t xml:space="preserve">Є.П. Діденко </w:t>
      </w:r>
      <w:r w:rsidRPr="00E67B25">
        <w:rPr>
          <w:i/>
          <w:sz w:val="22"/>
          <w:szCs w:val="22"/>
          <w:lang w:val="uk-UA"/>
        </w:rPr>
        <w:t>асистент</w:t>
      </w:r>
      <w:r w:rsidRPr="00E67B25">
        <w:rPr>
          <w:i/>
          <w:sz w:val="22"/>
          <w:szCs w:val="22"/>
          <w:lang w:val="uk-UA"/>
        </w:rPr>
        <w:t>,</w:t>
      </w:r>
      <w:r w:rsidRPr="00E67B25">
        <w:rPr>
          <w:b/>
          <w:i/>
          <w:sz w:val="22"/>
          <w:szCs w:val="22"/>
          <w:lang w:val="uk-UA"/>
        </w:rPr>
        <w:t xml:space="preserve"> Е.А.Назаренко</w:t>
      </w:r>
      <w:r w:rsidRPr="00E67B25">
        <w:rPr>
          <w:i/>
          <w:sz w:val="22"/>
          <w:szCs w:val="22"/>
          <w:lang w:val="uk-UA"/>
        </w:rPr>
        <w:t>,</w:t>
      </w:r>
      <w:r w:rsidRPr="00E67B25">
        <w:rPr>
          <w:i/>
          <w:sz w:val="22"/>
          <w:szCs w:val="22"/>
          <w:lang w:val="uk-UA"/>
        </w:rPr>
        <w:t xml:space="preserve"> </w:t>
      </w:r>
      <w:r w:rsidRPr="00E67B25">
        <w:rPr>
          <w:i/>
          <w:sz w:val="22"/>
          <w:szCs w:val="22"/>
          <w:lang w:val="uk-UA"/>
        </w:rPr>
        <w:t>асистент, Полтавський університет економіки і торгівлі</w:t>
      </w:r>
    </w:p>
    <w:p w:rsidR="0076635C" w:rsidRPr="00E67B25" w:rsidRDefault="0076635C" w:rsidP="00E67B25">
      <w:pPr>
        <w:tabs>
          <w:tab w:val="left" w:pos="1369"/>
        </w:tabs>
        <w:ind w:firstLine="851"/>
        <w:rPr>
          <w:b/>
          <w:i/>
          <w:sz w:val="22"/>
          <w:szCs w:val="22"/>
          <w:lang w:val="uk-UA"/>
        </w:rPr>
      </w:pPr>
      <w:r w:rsidRPr="00E67B25">
        <w:rPr>
          <w:b/>
          <w:i/>
          <w:sz w:val="22"/>
          <w:szCs w:val="22"/>
          <w:lang w:val="uk-UA"/>
        </w:rPr>
        <w:tab/>
      </w:r>
    </w:p>
    <w:p w:rsidR="003527E9" w:rsidRPr="00E67B25" w:rsidRDefault="00131895" w:rsidP="00E67B25">
      <w:pPr>
        <w:ind w:firstLine="851"/>
        <w:rPr>
          <w:sz w:val="22"/>
          <w:szCs w:val="22"/>
        </w:rPr>
      </w:pPr>
      <w:proofErr w:type="spellStart"/>
      <w:r w:rsidRPr="00E67B25">
        <w:rPr>
          <w:sz w:val="22"/>
          <w:szCs w:val="22"/>
        </w:rPr>
        <w:t>Соняшникова</w:t>
      </w:r>
      <w:proofErr w:type="spellEnd"/>
      <w:r w:rsidRPr="00E67B25">
        <w:rPr>
          <w:sz w:val="22"/>
          <w:szCs w:val="22"/>
        </w:rPr>
        <w:t xml:space="preserve"> </w:t>
      </w:r>
      <w:proofErr w:type="spellStart"/>
      <w:r w:rsidRPr="00E67B25">
        <w:rPr>
          <w:sz w:val="22"/>
          <w:szCs w:val="22"/>
        </w:rPr>
        <w:t>олія</w:t>
      </w:r>
      <w:proofErr w:type="spellEnd"/>
      <w:r w:rsidRPr="00E67B25">
        <w:rPr>
          <w:sz w:val="22"/>
          <w:szCs w:val="22"/>
        </w:rPr>
        <w:t xml:space="preserve"> — одна з </w:t>
      </w:r>
      <w:proofErr w:type="spellStart"/>
      <w:r w:rsidRPr="00E67B25">
        <w:rPr>
          <w:sz w:val="22"/>
          <w:szCs w:val="22"/>
        </w:rPr>
        <w:t>найважливіших</w:t>
      </w:r>
      <w:proofErr w:type="spellEnd"/>
      <w:r w:rsidRPr="00E67B25">
        <w:rPr>
          <w:sz w:val="22"/>
          <w:szCs w:val="22"/>
        </w:rPr>
        <w:t xml:space="preserve"> </w:t>
      </w:r>
      <w:proofErr w:type="spellStart"/>
      <w:r w:rsidRPr="00E67B25">
        <w:rPr>
          <w:sz w:val="22"/>
          <w:szCs w:val="22"/>
        </w:rPr>
        <w:t>рослинних</w:t>
      </w:r>
      <w:proofErr w:type="spellEnd"/>
      <w:r w:rsidRPr="00E67B25">
        <w:rPr>
          <w:sz w:val="22"/>
          <w:szCs w:val="22"/>
        </w:rPr>
        <w:t xml:space="preserve"> </w:t>
      </w:r>
      <w:proofErr w:type="spellStart"/>
      <w:r w:rsidRPr="00E67B25">
        <w:rPr>
          <w:sz w:val="22"/>
          <w:szCs w:val="22"/>
        </w:rPr>
        <w:t>олій</w:t>
      </w:r>
      <w:proofErr w:type="spellEnd"/>
      <w:r w:rsidRPr="00E67B25">
        <w:rPr>
          <w:sz w:val="22"/>
          <w:szCs w:val="22"/>
        </w:rPr>
        <w:t xml:space="preserve">, </w:t>
      </w:r>
      <w:proofErr w:type="spellStart"/>
      <w:r w:rsidRPr="00E67B25">
        <w:rPr>
          <w:sz w:val="22"/>
          <w:szCs w:val="22"/>
        </w:rPr>
        <w:t>що</w:t>
      </w:r>
      <w:proofErr w:type="spellEnd"/>
      <w:r w:rsidRPr="00E67B25">
        <w:rPr>
          <w:sz w:val="22"/>
          <w:szCs w:val="22"/>
        </w:rPr>
        <w:t xml:space="preserve"> </w:t>
      </w:r>
      <w:proofErr w:type="spellStart"/>
      <w:r w:rsidR="00E67B25">
        <w:rPr>
          <w:sz w:val="22"/>
          <w:szCs w:val="22"/>
        </w:rPr>
        <w:t>має</w:t>
      </w:r>
      <w:proofErr w:type="spellEnd"/>
      <w:r w:rsidR="00E67B25">
        <w:rPr>
          <w:sz w:val="22"/>
          <w:szCs w:val="22"/>
        </w:rPr>
        <w:t xml:space="preserve"> </w:t>
      </w:r>
      <w:proofErr w:type="spellStart"/>
      <w:r w:rsidR="00E67B25">
        <w:rPr>
          <w:sz w:val="22"/>
          <w:szCs w:val="22"/>
        </w:rPr>
        <w:t>велике</w:t>
      </w:r>
      <w:proofErr w:type="spellEnd"/>
      <w:r w:rsidR="00E67B25">
        <w:rPr>
          <w:sz w:val="22"/>
          <w:szCs w:val="22"/>
        </w:rPr>
        <w:t xml:space="preserve"> народно-</w:t>
      </w:r>
      <w:proofErr w:type="spellStart"/>
      <w:r w:rsidR="00E67B25">
        <w:rPr>
          <w:sz w:val="22"/>
          <w:szCs w:val="22"/>
        </w:rPr>
        <w:t>господарське</w:t>
      </w:r>
      <w:proofErr w:type="spellEnd"/>
      <w:r w:rsidR="00E67B25">
        <w:rPr>
          <w:sz w:val="22"/>
          <w:szCs w:val="22"/>
          <w:lang w:val="uk-UA"/>
        </w:rPr>
        <w:t xml:space="preserve"> </w:t>
      </w:r>
      <w:proofErr w:type="spellStart"/>
      <w:r w:rsidRPr="00E67B25">
        <w:rPr>
          <w:sz w:val="22"/>
          <w:szCs w:val="22"/>
        </w:rPr>
        <w:t>значення</w:t>
      </w:r>
      <w:proofErr w:type="spellEnd"/>
      <w:r w:rsidRPr="00E67B25">
        <w:rPr>
          <w:sz w:val="22"/>
          <w:szCs w:val="22"/>
        </w:rPr>
        <w:t>.</w:t>
      </w:r>
      <w:r w:rsidR="003527E9" w:rsidRPr="00E67B25">
        <w:rPr>
          <w:color w:val="666666"/>
          <w:sz w:val="22"/>
          <w:szCs w:val="22"/>
        </w:rPr>
        <w:t xml:space="preserve"> </w:t>
      </w:r>
      <w:r w:rsidR="003527E9" w:rsidRPr="00E67B25">
        <w:rPr>
          <w:sz w:val="22"/>
          <w:szCs w:val="22"/>
        </w:rPr>
        <w:t>Ї</w:t>
      </w:r>
      <w:r w:rsidR="003527E9" w:rsidRPr="00E67B25">
        <w:rPr>
          <w:sz w:val="22"/>
          <w:szCs w:val="22"/>
          <w:lang w:val="uk-UA"/>
        </w:rPr>
        <w:t>ї</w:t>
      </w:r>
      <w:r w:rsidR="003527E9" w:rsidRPr="00E67B25">
        <w:rPr>
          <w:sz w:val="22"/>
          <w:szCs w:val="22"/>
        </w:rPr>
        <w:t xml:space="preserve"> </w:t>
      </w:r>
      <w:proofErr w:type="spellStart"/>
      <w:r w:rsidR="003527E9" w:rsidRPr="00E67B25">
        <w:rPr>
          <w:sz w:val="22"/>
          <w:szCs w:val="22"/>
        </w:rPr>
        <w:t>поживна</w:t>
      </w:r>
      <w:proofErr w:type="spellEnd"/>
      <w:r w:rsidR="003527E9" w:rsidRPr="00E67B25">
        <w:rPr>
          <w:sz w:val="22"/>
          <w:szCs w:val="22"/>
        </w:rPr>
        <w:t xml:space="preserve"> </w:t>
      </w:r>
      <w:proofErr w:type="spellStart"/>
      <w:r w:rsidR="003527E9" w:rsidRPr="00E67B25">
        <w:rPr>
          <w:sz w:val="22"/>
          <w:szCs w:val="22"/>
        </w:rPr>
        <w:t>цінність</w:t>
      </w:r>
      <w:proofErr w:type="spellEnd"/>
      <w:r w:rsidR="003527E9" w:rsidRPr="00E67B25">
        <w:rPr>
          <w:sz w:val="22"/>
          <w:szCs w:val="22"/>
        </w:rPr>
        <w:t xml:space="preserve"> </w:t>
      </w:r>
      <w:proofErr w:type="spellStart"/>
      <w:r w:rsidR="003527E9" w:rsidRPr="00E67B25">
        <w:rPr>
          <w:sz w:val="22"/>
          <w:szCs w:val="22"/>
        </w:rPr>
        <w:t>визначається</w:t>
      </w:r>
      <w:proofErr w:type="spellEnd"/>
      <w:r w:rsidR="003527E9" w:rsidRPr="00E67B25">
        <w:rPr>
          <w:sz w:val="22"/>
          <w:szCs w:val="22"/>
        </w:rPr>
        <w:t xml:space="preserve"> </w:t>
      </w:r>
      <w:proofErr w:type="spellStart"/>
      <w:r w:rsidR="003527E9" w:rsidRPr="00E67B25">
        <w:rPr>
          <w:sz w:val="22"/>
          <w:szCs w:val="22"/>
        </w:rPr>
        <w:t>високим</w:t>
      </w:r>
      <w:proofErr w:type="spellEnd"/>
      <w:r w:rsidR="003527E9" w:rsidRPr="00E67B25">
        <w:rPr>
          <w:sz w:val="22"/>
          <w:szCs w:val="22"/>
        </w:rPr>
        <w:t xml:space="preserve"> </w:t>
      </w:r>
      <w:proofErr w:type="spellStart"/>
      <w:r w:rsidR="003527E9" w:rsidRPr="00E67B25">
        <w:rPr>
          <w:sz w:val="22"/>
          <w:szCs w:val="22"/>
        </w:rPr>
        <w:t>вмістом</w:t>
      </w:r>
      <w:proofErr w:type="spellEnd"/>
      <w:r w:rsidR="003527E9" w:rsidRPr="00E67B25">
        <w:rPr>
          <w:sz w:val="22"/>
          <w:szCs w:val="22"/>
        </w:rPr>
        <w:t xml:space="preserve"> </w:t>
      </w:r>
      <w:proofErr w:type="spellStart"/>
      <w:r w:rsidR="003527E9" w:rsidRPr="00E67B25">
        <w:rPr>
          <w:sz w:val="22"/>
          <w:szCs w:val="22"/>
        </w:rPr>
        <w:t>тригліцеридів</w:t>
      </w:r>
      <w:proofErr w:type="spellEnd"/>
      <w:r w:rsidR="003527E9" w:rsidRPr="00E67B25">
        <w:rPr>
          <w:sz w:val="22"/>
          <w:szCs w:val="22"/>
        </w:rPr>
        <w:t xml:space="preserve"> </w:t>
      </w:r>
      <w:proofErr w:type="spellStart"/>
      <w:r w:rsidR="003527E9" w:rsidRPr="00E67B25">
        <w:rPr>
          <w:sz w:val="22"/>
          <w:szCs w:val="22"/>
        </w:rPr>
        <w:t>вищих</w:t>
      </w:r>
      <w:proofErr w:type="spellEnd"/>
      <w:r w:rsidR="003527E9" w:rsidRPr="00E67B25">
        <w:rPr>
          <w:sz w:val="22"/>
          <w:szCs w:val="22"/>
        </w:rPr>
        <w:t xml:space="preserve"> </w:t>
      </w:r>
      <w:proofErr w:type="spellStart"/>
      <w:r w:rsidR="003527E9" w:rsidRPr="00E67B25">
        <w:rPr>
          <w:sz w:val="22"/>
          <w:szCs w:val="22"/>
        </w:rPr>
        <w:t>жирних</w:t>
      </w:r>
      <w:proofErr w:type="spellEnd"/>
      <w:r w:rsidR="003527E9" w:rsidRPr="00E67B25">
        <w:rPr>
          <w:sz w:val="22"/>
          <w:szCs w:val="22"/>
        </w:rPr>
        <w:t xml:space="preserve"> кислот, </w:t>
      </w:r>
      <w:proofErr w:type="spellStart"/>
      <w:r w:rsidR="003527E9" w:rsidRPr="00E67B25">
        <w:rPr>
          <w:sz w:val="22"/>
          <w:szCs w:val="22"/>
        </w:rPr>
        <w:t>фосфатидів</w:t>
      </w:r>
      <w:proofErr w:type="spellEnd"/>
      <w:r w:rsidR="003527E9" w:rsidRPr="00E67B25">
        <w:rPr>
          <w:sz w:val="22"/>
          <w:szCs w:val="22"/>
        </w:rPr>
        <w:t xml:space="preserve">, </w:t>
      </w:r>
      <w:proofErr w:type="spellStart"/>
      <w:r w:rsidR="003527E9" w:rsidRPr="00E67B25">
        <w:rPr>
          <w:sz w:val="22"/>
          <w:szCs w:val="22"/>
        </w:rPr>
        <w:t>сте</w:t>
      </w:r>
      <w:r w:rsidR="00D82BA4">
        <w:rPr>
          <w:sz w:val="22"/>
          <w:szCs w:val="22"/>
        </w:rPr>
        <w:t>а</w:t>
      </w:r>
      <w:r w:rsidR="003527E9" w:rsidRPr="00E67B25">
        <w:rPr>
          <w:sz w:val="22"/>
          <w:szCs w:val="22"/>
        </w:rPr>
        <w:t>ринів</w:t>
      </w:r>
      <w:proofErr w:type="spellEnd"/>
      <w:r w:rsidR="003527E9" w:rsidRPr="00E67B25">
        <w:rPr>
          <w:sz w:val="22"/>
          <w:szCs w:val="22"/>
        </w:rPr>
        <w:t xml:space="preserve">, </w:t>
      </w:r>
      <w:proofErr w:type="spellStart"/>
      <w:r w:rsidR="003527E9" w:rsidRPr="00E67B25">
        <w:rPr>
          <w:sz w:val="22"/>
          <w:szCs w:val="22"/>
        </w:rPr>
        <w:t>токоферолі</w:t>
      </w:r>
      <w:proofErr w:type="gramStart"/>
      <w:r w:rsidR="003527E9" w:rsidRPr="00E67B25">
        <w:rPr>
          <w:sz w:val="22"/>
          <w:szCs w:val="22"/>
        </w:rPr>
        <w:t>в</w:t>
      </w:r>
      <w:proofErr w:type="spellEnd"/>
      <w:proofErr w:type="gramEnd"/>
      <w:r w:rsidR="003527E9" w:rsidRPr="00E67B25">
        <w:rPr>
          <w:sz w:val="22"/>
          <w:szCs w:val="22"/>
        </w:rPr>
        <w:t>.</w:t>
      </w:r>
    </w:p>
    <w:p w:rsidR="00237E93" w:rsidRPr="00E67B25" w:rsidRDefault="00131895" w:rsidP="00E67B25">
      <w:pPr>
        <w:ind w:firstLine="851"/>
        <w:jc w:val="both"/>
        <w:rPr>
          <w:sz w:val="22"/>
          <w:szCs w:val="22"/>
          <w:lang w:val="uk-UA"/>
        </w:rPr>
      </w:pPr>
      <w:r w:rsidRPr="00E67B25">
        <w:rPr>
          <w:sz w:val="22"/>
          <w:szCs w:val="22"/>
        </w:rPr>
        <w:t xml:space="preserve"> У </w:t>
      </w:r>
      <w:proofErr w:type="spellStart"/>
      <w:r w:rsidRPr="00E67B25">
        <w:rPr>
          <w:sz w:val="22"/>
          <w:szCs w:val="22"/>
        </w:rPr>
        <w:t>кулінарії</w:t>
      </w:r>
      <w:proofErr w:type="spellEnd"/>
      <w:r w:rsidRPr="00E67B25">
        <w:rPr>
          <w:sz w:val="22"/>
          <w:szCs w:val="22"/>
        </w:rPr>
        <w:t xml:space="preserve"> </w:t>
      </w:r>
      <w:r w:rsidR="003527E9" w:rsidRPr="00E67B25">
        <w:rPr>
          <w:sz w:val="22"/>
          <w:szCs w:val="22"/>
          <w:lang w:val="uk-UA"/>
        </w:rPr>
        <w:t>соняшникову олію використовують</w:t>
      </w:r>
      <w:r w:rsidRPr="00E67B25">
        <w:rPr>
          <w:sz w:val="22"/>
          <w:szCs w:val="22"/>
        </w:rPr>
        <w:t xml:space="preserve"> для </w:t>
      </w:r>
      <w:proofErr w:type="spellStart"/>
      <w:r w:rsidRPr="00E67B25">
        <w:rPr>
          <w:sz w:val="22"/>
          <w:szCs w:val="22"/>
        </w:rPr>
        <w:t>смаження</w:t>
      </w:r>
      <w:proofErr w:type="spellEnd"/>
      <w:r w:rsidRPr="00E67B25">
        <w:rPr>
          <w:sz w:val="22"/>
          <w:szCs w:val="22"/>
        </w:rPr>
        <w:t xml:space="preserve"> і для </w:t>
      </w:r>
      <w:proofErr w:type="spellStart"/>
      <w:r w:rsidRPr="00E67B25">
        <w:rPr>
          <w:sz w:val="22"/>
          <w:szCs w:val="22"/>
        </w:rPr>
        <w:t>додавання</w:t>
      </w:r>
      <w:proofErr w:type="spellEnd"/>
      <w:r w:rsidRPr="00E67B25">
        <w:rPr>
          <w:sz w:val="22"/>
          <w:szCs w:val="22"/>
        </w:rPr>
        <w:t xml:space="preserve"> до </w:t>
      </w:r>
      <w:proofErr w:type="spellStart"/>
      <w:r w:rsidRPr="00E67B25">
        <w:rPr>
          <w:sz w:val="22"/>
          <w:szCs w:val="22"/>
        </w:rPr>
        <w:t>салатів</w:t>
      </w:r>
      <w:proofErr w:type="spellEnd"/>
      <w:r w:rsidRPr="00E67B25">
        <w:rPr>
          <w:sz w:val="22"/>
          <w:szCs w:val="22"/>
        </w:rPr>
        <w:t xml:space="preserve">. </w:t>
      </w:r>
      <w:proofErr w:type="gramStart"/>
      <w:r w:rsidRPr="00E67B25">
        <w:rPr>
          <w:sz w:val="22"/>
          <w:szCs w:val="22"/>
        </w:rPr>
        <w:t>З</w:t>
      </w:r>
      <w:proofErr w:type="gramEnd"/>
      <w:r w:rsidRPr="00E67B25">
        <w:rPr>
          <w:sz w:val="22"/>
          <w:szCs w:val="22"/>
        </w:rPr>
        <w:t xml:space="preserve"> </w:t>
      </w:r>
      <w:r w:rsidR="003527E9" w:rsidRPr="00E67B25">
        <w:rPr>
          <w:sz w:val="22"/>
          <w:szCs w:val="22"/>
          <w:lang w:val="uk-UA"/>
        </w:rPr>
        <w:t>неї</w:t>
      </w:r>
      <w:r w:rsidRPr="00E67B25">
        <w:rPr>
          <w:sz w:val="22"/>
          <w:szCs w:val="22"/>
        </w:rPr>
        <w:t xml:space="preserve"> </w:t>
      </w:r>
      <w:r w:rsidR="003527E9" w:rsidRPr="00E67B25">
        <w:rPr>
          <w:sz w:val="22"/>
          <w:szCs w:val="22"/>
          <w:lang w:val="uk-UA"/>
        </w:rPr>
        <w:t>виготовляють</w:t>
      </w:r>
      <w:r w:rsidRPr="00E67B25">
        <w:rPr>
          <w:sz w:val="22"/>
          <w:szCs w:val="22"/>
        </w:rPr>
        <w:t xml:space="preserve"> маргарин і </w:t>
      </w:r>
      <w:proofErr w:type="spellStart"/>
      <w:r w:rsidRPr="00E67B25">
        <w:rPr>
          <w:sz w:val="22"/>
          <w:szCs w:val="22"/>
        </w:rPr>
        <w:t>кулінарні</w:t>
      </w:r>
      <w:proofErr w:type="spellEnd"/>
      <w:r w:rsidRPr="00E67B25">
        <w:rPr>
          <w:sz w:val="22"/>
          <w:szCs w:val="22"/>
        </w:rPr>
        <w:t xml:space="preserve"> </w:t>
      </w:r>
      <w:proofErr w:type="spellStart"/>
      <w:r w:rsidRPr="00E67B25">
        <w:rPr>
          <w:sz w:val="22"/>
          <w:szCs w:val="22"/>
        </w:rPr>
        <w:t>жири</w:t>
      </w:r>
      <w:proofErr w:type="spellEnd"/>
      <w:r w:rsidRPr="00E67B25">
        <w:rPr>
          <w:sz w:val="22"/>
          <w:szCs w:val="22"/>
        </w:rPr>
        <w:t xml:space="preserve"> (шляхом </w:t>
      </w:r>
      <w:proofErr w:type="spellStart"/>
      <w:r w:rsidRPr="00E67B25">
        <w:rPr>
          <w:sz w:val="22"/>
          <w:szCs w:val="22"/>
        </w:rPr>
        <w:t>гідрування</w:t>
      </w:r>
      <w:proofErr w:type="spellEnd"/>
      <w:r w:rsidRPr="00E67B25">
        <w:rPr>
          <w:sz w:val="22"/>
          <w:szCs w:val="22"/>
        </w:rPr>
        <w:t xml:space="preserve">). </w:t>
      </w:r>
      <w:r w:rsidR="003527E9" w:rsidRPr="00E67B25">
        <w:rPr>
          <w:sz w:val="22"/>
          <w:szCs w:val="22"/>
          <w:lang w:val="uk-UA"/>
        </w:rPr>
        <w:t xml:space="preserve">Також </w:t>
      </w:r>
      <w:proofErr w:type="spellStart"/>
      <w:r w:rsidRPr="00E67B25">
        <w:rPr>
          <w:sz w:val="22"/>
          <w:szCs w:val="22"/>
        </w:rPr>
        <w:t>олія</w:t>
      </w:r>
      <w:proofErr w:type="spellEnd"/>
      <w:r w:rsidRPr="00E67B25">
        <w:rPr>
          <w:sz w:val="22"/>
          <w:szCs w:val="22"/>
        </w:rPr>
        <w:t xml:space="preserve"> </w:t>
      </w:r>
      <w:proofErr w:type="spellStart"/>
      <w:r w:rsidRPr="00E67B25">
        <w:rPr>
          <w:sz w:val="22"/>
          <w:szCs w:val="22"/>
        </w:rPr>
        <w:t>застосовується</w:t>
      </w:r>
      <w:proofErr w:type="spellEnd"/>
      <w:r w:rsidRPr="00E67B25">
        <w:rPr>
          <w:sz w:val="22"/>
          <w:szCs w:val="22"/>
        </w:rPr>
        <w:t xml:space="preserve"> для </w:t>
      </w:r>
      <w:r w:rsidRPr="00E67B25">
        <w:rPr>
          <w:sz w:val="22"/>
          <w:szCs w:val="22"/>
          <w:lang w:val="uk-UA"/>
        </w:rPr>
        <w:t>виготовлення консервів, а також у миловарінні та лакофарбовій промисловості.</w:t>
      </w:r>
    </w:p>
    <w:p w:rsidR="00E67B25" w:rsidRDefault="00131895" w:rsidP="00E67B25">
      <w:pPr>
        <w:ind w:firstLine="851"/>
        <w:jc w:val="both"/>
        <w:rPr>
          <w:sz w:val="22"/>
          <w:szCs w:val="22"/>
          <w:lang w:val="uk-UA"/>
        </w:rPr>
      </w:pPr>
      <w:r w:rsidRPr="00E67B25">
        <w:rPr>
          <w:sz w:val="22"/>
          <w:szCs w:val="22"/>
          <w:lang w:val="uk-UA"/>
        </w:rPr>
        <w:t>Соняшникова олія поділяється на два види - рафінована і нерафінована олія. Рафінована соняшникова олія, яка ще є дезодорована, призначен</w:t>
      </w:r>
      <w:r w:rsidR="003527E9" w:rsidRPr="00E67B25">
        <w:rPr>
          <w:sz w:val="22"/>
          <w:szCs w:val="22"/>
          <w:lang w:val="uk-UA"/>
        </w:rPr>
        <w:t>а</w:t>
      </w:r>
      <w:r w:rsidRPr="00E67B25">
        <w:rPr>
          <w:sz w:val="22"/>
          <w:szCs w:val="22"/>
          <w:lang w:val="uk-UA"/>
        </w:rPr>
        <w:t xml:space="preserve"> виключно для приготування страв шляхом смаження. При рафінації та дезодорації відбувається видалення оса</w:t>
      </w:r>
      <w:r w:rsidR="003527E9" w:rsidRPr="00E67B25">
        <w:rPr>
          <w:sz w:val="22"/>
          <w:szCs w:val="22"/>
          <w:lang w:val="uk-UA"/>
        </w:rPr>
        <w:t>ду, слизу, фарбувальних речовин</w:t>
      </w:r>
      <w:r w:rsidRPr="00E67B25">
        <w:rPr>
          <w:sz w:val="22"/>
          <w:szCs w:val="22"/>
          <w:lang w:val="uk-UA"/>
        </w:rPr>
        <w:t xml:space="preserve">, </w:t>
      </w:r>
      <w:r w:rsidR="003527E9" w:rsidRPr="00E67B25">
        <w:rPr>
          <w:sz w:val="22"/>
          <w:szCs w:val="22"/>
          <w:lang w:val="uk-UA"/>
        </w:rPr>
        <w:t>зникає</w:t>
      </w:r>
      <w:r w:rsidRPr="00E67B25">
        <w:rPr>
          <w:sz w:val="22"/>
          <w:szCs w:val="22"/>
          <w:lang w:val="uk-UA"/>
        </w:rPr>
        <w:t xml:space="preserve"> і запах, характерний для олії з соняшнику.</w:t>
      </w:r>
    </w:p>
    <w:p w:rsidR="003527E9" w:rsidRPr="00E67B25" w:rsidRDefault="00E67B25" w:rsidP="00E67B25">
      <w:pPr>
        <w:ind w:firstLine="851"/>
        <w:jc w:val="both"/>
        <w:rPr>
          <w:sz w:val="22"/>
          <w:szCs w:val="22"/>
          <w:lang w:val="uk-UA"/>
        </w:rPr>
      </w:pPr>
      <w:r w:rsidRPr="00E67B25">
        <w:rPr>
          <w:sz w:val="22"/>
          <w:szCs w:val="22"/>
          <w:lang w:val="uk-UA"/>
        </w:rPr>
        <w:t xml:space="preserve"> </w:t>
      </w:r>
      <w:r w:rsidR="003527E9" w:rsidRPr="00E67B25">
        <w:rPr>
          <w:sz w:val="22"/>
          <w:szCs w:val="22"/>
          <w:lang w:val="uk-UA"/>
        </w:rPr>
        <w:t>У споживанні рослинних олій в Україні переважає соняшникова олія, яка використовується населенням як один з основних продуктів харчування, а також виступає в якості сировини для одержання різної продукції (майонезу, консервів та ін.) Слід зазначити, що 90% населення Україні віддають перевагу саме соняшниковій олії. Ще за радянських часів більшість українців звикли до нерафінованої олії жовтого, майже оранжевого відтінку із запахом смаженого насіння. Цю традицію підтримує і український ДСТУ, який серйозно відрізняється від світового стандарту</w:t>
      </w:r>
      <w:r>
        <w:rPr>
          <w:sz w:val="22"/>
          <w:szCs w:val="22"/>
          <w:lang w:val="uk-UA"/>
        </w:rPr>
        <w:t>.</w:t>
      </w:r>
    </w:p>
    <w:p w:rsidR="008669C8" w:rsidRPr="00E67B25" w:rsidRDefault="00E67B25" w:rsidP="00E67B25">
      <w:pPr>
        <w:ind w:firstLine="85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3527E9" w:rsidRPr="00E67B25">
        <w:rPr>
          <w:sz w:val="22"/>
          <w:szCs w:val="22"/>
          <w:lang w:val="uk-UA"/>
        </w:rPr>
        <w:t xml:space="preserve"> нинішній час жителі великих міст воліють купувати рафіновану олію, яка не має ні смаку, ні запаху. У регіонах з низькою купівельною спроможністю населення більшою популярністю користується нерафінована, тобто неочищена олія з насіння соняшнику, що вироблена на місцевих підприємствах. Перевага, яку в провінції віддають нерафінованій олії, легко пояснюється її дешевизною.</w:t>
      </w:r>
      <w:r w:rsidR="008669C8" w:rsidRPr="00E67B25">
        <w:rPr>
          <w:sz w:val="22"/>
          <w:szCs w:val="22"/>
          <w:lang w:val="uk-UA"/>
        </w:rPr>
        <w:t xml:space="preserve"> </w:t>
      </w:r>
    </w:p>
    <w:p w:rsidR="003527E9" w:rsidRPr="00E67B25" w:rsidRDefault="008669C8" w:rsidP="00E67B25">
      <w:pPr>
        <w:ind w:firstLine="851"/>
        <w:jc w:val="both"/>
        <w:rPr>
          <w:sz w:val="22"/>
          <w:szCs w:val="22"/>
          <w:lang w:val="uk-UA"/>
        </w:rPr>
      </w:pPr>
      <w:r w:rsidRPr="00E67B25">
        <w:rPr>
          <w:sz w:val="22"/>
          <w:szCs w:val="22"/>
          <w:lang w:val="uk-UA"/>
        </w:rPr>
        <w:t>Часто люди використовують олію для смаження кілька разів. А у закладах громадського харчування це явище є нормою.</w:t>
      </w:r>
    </w:p>
    <w:p w:rsidR="003527E9" w:rsidRPr="00E67B25" w:rsidRDefault="008669C8" w:rsidP="00E67B25">
      <w:pPr>
        <w:ind w:firstLine="851"/>
        <w:jc w:val="both"/>
        <w:rPr>
          <w:sz w:val="22"/>
          <w:szCs w:val="22"/>
          <w:lang w:val="uk-UA"/>
        </w:rPr>
      </w:pPr>
      <w:r w:rsidRPr="00E67B25">
        <w:rPr>
          <w:sz w:val="22"/>
          <w:szCs w:val="22"/>
          <w:lang w:val="uk-UA"/>
        </w:rPr>
        <w:t>Метою даної роботи є встановлення фізико-хімічних показників соняшникової олії до та після термічної обробки</w:t>
      </w:r>
      <w:r w:rsidR="0071672C" w:rsidRPr="00E67B25">
        <w:rPr>
          <w:sz w:val="22"/>
          <w:szCs w:val="22"/>
          <w:lang w:val="uk-UA"/>
        </w:rPr>
        <w:t>.</w:t>
      </w:r>
    </w:p>
    <w:p w:rsidR="0071672C" w:rsidRPr="00E67B25" w:rsidRDefault="0071672C" w:rsidP="00E67B25">
      <w:pPr>
        <w:ind w:firstLine="851"/>
        <w:jc w:val="both"/>
        <w:rPr>
          <w:sz w:val="22"/>
          <w:szCs w:val="22"/>
          <w:lang w:val="uk-UA"/>
        </w:rPr>
      </w:pPr>
      <w:r w:rsidRPr="00E67B25">
        <w:rPr>
          <w:sz w:val="22"/>
          <w:szCs w:val="22"/>
          <w:lang w:val="uk-UA"/>
        </w:rPr>
        <w:t>Для проведення дослідження була використана соняшникова олія найбільш розповсюджених торгових марок: «</w:t>
      </w:r>
      <w:proofErr w:type="spellStart"/>
      <w:r w:rsidRPr="00E67B25">
        <w:rPr>
          <w:sz w:val="22"/>
          <w:szCs w:val="22"/>
          <w:lang w:val="uk-UA"/>
        </w:rPr>
        <w:t>Олейна</w:t>
      </w:r>
      <w:proofErr w:type="spellEnd"/>
      <w:r w:rsidRPr="00E67B25">
        <w:rPr>
          <w:sz w:val="22"/>
          <w:szCs w:val="22"/>
          <w:lang w:val="uk-UA"/>
        </w:rPr>
        <w:t>», «</w:t>
      </w:r>
      <w:proofErr w:type="spellStart"/>
      <w:r w:rsidRPr="00E67B25">
        <w:rPr>
          <w:sz w:val="22"/>
          <w:szCs w:val="22"/>
          <w:lang w:val="uk-UA"/>
        </w:rPr>
        <w:t>Стожар</w:t>
      </w:r>
      <w:proofErr w:type="spellEnd"/>
      <w:r w:rsidRPr="00E67B25">
        <w:rPr>
          <w:sz w:val="22"/>
          <w:szCs w:val="22"/>
          <w:lang w:val="uk-UA"/>
        </w:rPr>
        <w:t>», «Щедрий дар», «Чумак».</w:t>
      </w:r>
    </w:p>
    <w:p w:rsidR="0071672C" w:rsidRPr="00E67B25" w:rsidRDefault="0071672C" w:rsidP="00E67B25">
      <w:pPr>
        <w:ind w:firstLine="851"/>
        <w:jc w:val="both"/>
        <w:rPr>
          <w:sz w:val="22"/>
          <w:szCs w:val="22"/>
          <w:lang w:val="uk-UA"/>
        </w:rPr>
      </w:pPr>
      <w:r w:rsidRPr="00E67B25">
        <w:rPr>
          <w:sz w:val="22"/>
          <w:szCs w:val="22"/>
          <w:lang w:val="uk-UA"/>
        </w:rPr>
        <w:t>Методи дослідження:</w:t>
      </w:r>
    </w:p>
    <w:p w:rsidR="0071672C" w:rsidRPr="00E67B25" w:rsidRDefault="0071672C" w:rsidP="00E67B25">
      <w:pPr>
        <w:pStyle w:val="a4"/>
        <w:numPr>
          <w:ilvl w:val="0"/>
          <w:numId w:val="1"/>
        </w:numPr>
        <w:ind w:left="0" w:firstLine="851"/>
        <w:jc w:val="both"/>
        <w:rPr>
          <w:sz w:val="22"/>
          <w:szCs w:val="22"/>
          <w:lang w:val="uk-UA"/>
        </w:rPr>
      </w:pPr>
      <w:r w:rsidRPr="00E67B25">
        <w:rPr>
          <w:sz w:val="22"/>
          <w:szCs w:val="22"/>
          <w:lang w:val="uk-UA"/>
        </w:rPr>
        <w:t xml:space="preserve">визначення </w:t>
      </w:r>
      <w:proofErr w:type="spellStart"/>
      <w:r w:rsidRPr="00E67B25">
        <w:rPr>
          <w:sz w:val="22"/>
          <w:szCs w:val="22"/>
          <w:lang w:val="uk-UA"/>
        </w:rPr>
        <w:t>перекисного</w:t>
      </w:r>
      <w:proofErr w:type="spellEnd"/>
      <w:r w:rsidRPr="00E67B25">
        <w:rPr>
          <w:sz w:val="22"/>
          <w:szCs w:val="22"/>
          <w:lang w:val="uk-UA"/>
        </w:rPr>
        <w:t xml:space="preserve"> числа, відповідно до ГОСТ 26593-85</w:t>
      </w:r>
    </w:p>
    <w:p w:rsidR="0071672C" w:rsidRPr="00E67B25" w:rsidRDefault="0071672C" w:rsidP="00E67B25">
      <w:pPr>
        <w:pStyle w:val="a4"/>
        <w:numPr>
          <w:ilvl w:val="0"/>
          <w:numId w:val="1"/>
        </w:numPr>
        <w:ind w:left="0" w:firstLine="851"/>
        <w:jc w:val="both"/>
        <w:rPr>
          <w:sz w:val="22"/>
          <w:szCs w:val="22"/>
          <w:lang w:val="uk-UA"/>
        </w:rPr>
      </w:pPr>
      <w:r w:rsidRPr="00E67B25">
        <w:rPr>
          <w:sz w:val="22"/>
          <w:szCs w:val="22"/>
          <w:lang w:val="uk-UA"/>
        </w:rPr>
        <w:t>визначення йодного числа, відповідно до ГОСТ 5475-69</w:t>
      </w:r>
    </w:p>
    <w:p w:rsidR="0071672C" w:rsidRPr="00E67B25" w:rsidRDefault="0071672C" w:rsidP="0071672C">
      <w:pPr>
        <w:pStyle w:val="a4"/>
        <w:ind w:left="0" w:firstLine="851"/>
        <w:jc w:val="both"/>
        <w:rPr>
          <w:sz w:val="22"/>
          <w:szCs w:val="22"/>
          <w:lang w:val="uk-UA"/>
        </w:rPr>
      </w:pPr>
    </w:p>
    <w:tbl>
      <w:tblPr>
        <w:tblpPr w:leftFromText="180" w:rightFromText="180" w:vertAnchor="text" w:horzAnchor="margin" w:tblpY="131"/>
        <w:tblW w:w="918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09"/>
        <w:gridCol w:w="708"/>
        <w:gridCol w:w="709"/>
        <w:gridCol w:w="1418"/>
        <w:gridCol w:w="808"/>
        <w:gridCol w:w="7"/>
        <w:gridCol w:w="884"/>
        <w:gridCol w:w="939"/>
        <w:gridCol w:w="1472"/>
      </w:tblGrid>
      <w:tr w:rsidR="0071672C" w:rsidRPr="0071672C" w:rsidTr="00D82BA4">
        <w:trPr>
          <w:trHeight w:val="806"/>
        </w:trPr>
        <w:tc>
          <w:tcPr>
            <w:tcW w:w="1526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672C">
              <w:rPr>
                <w:b/>
                <w:sz w:val="22"/>
                <w:szCs w:val="22"/>
                <w:lang w:val="uk-UA"/>
              </w:rPr>
              <w:t>Зразки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672C">
              <w:rPr>
                <w:b/>
                <w:sz w:val="22"/>
                <w:szCs w:val="22"/>
                <w:lang w:val="uk-UA"/>
              </w:rPr>
              <w:t>Перекисне число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672C">
              <w:rPr>
                <w:b/>
                <w:sz w:val="22"/>
                <w:szCs w:val="22"/>
                <w:lang w:val="uk-UA"/>
              </w:rPr>
              <w:t xml:space="preserve">Норма за </w:t>
            </w:r>
            <w:proofErr w:type="spellStart"/>
            <w:r w:rsidRPr="0071672C">
              <w:rPr>
                <w:b/>
                <w:sz w:val="22"/>
                <w:szCs w:val="22"/>
                <w:lang w:val="uk-UA"/>
              </w:rPr>
              <w:t>ГОСТом</w:t>
            </w:r>
            <w:proofErr w:type="spellEnd"/>
          </w:p>
          <w:p w:rsidR="0071672C" w:rsidRPr="0071672C" w:rsidRDefault="0071672C" w:rsidP="0071672C">
            <w:pPr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263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672C">
              <w:rPr>
                <w:b/>
                <w:sz w:val="22"/>
                <w:szCs w:val="22"/>
                <w:lang w:val="uk-UA"/>
              </w:rPr>
              <w:t>Йодне число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672C">
              <w:rPr>
                <w:b/>
                <w:sz w:val="22"/>
                <w:szCs w:val="22"/>
                <w:lang w:val="uk-UA"/>
              </w:rPr>
              <w:t xml:space="preserve">Норма за </w:t>
            </w:r>
            <w:proofErr w:type="spellStart"/>
            <w:r w:rsidRPr="0071672C">
              <w:rPr>
                <w:b/>
                <w:sz w:val="22"/>
                <w:szCs w:val="22"/>
                <w:lang w:val="uk-UA"/>
              </w:rPr>
              <w:t>ГОСТом</w:t>
            </w:r>
            <w:proofErr w:type="spellEnd"/>
          </w:p>
        </w:tc>
      </w:tr>
      <w:tr w:rsidR="0071672C" w:rsidRPr="0071672C" w:rsidTr="00D82BA4">
        <w:trPr>
          <w:trHeight w:val="489"/>
        </w:trPr>
        <w:tc>
          <w:tcPr>
            <w:tcW w:w="1526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672C">
              <w:rPr>
                <w:b/>
                <w:sz w:val="22"/>
                <w:szCs w:val="22"/>
                <w:lang w:val="uk-UA"/>
              </w:rPr>
              <w:t xml:space="preserve">Кількість </w:t>
            </w:r>
            <w:proofErr w:type="spellStart"/>
            <w:r w:rsidRPr="0071672C">
              <w:rPr>
                <w:b/>
                <w:sz w:val="22"/>
                <w:szCs w:val="22"/>
                <w:lang w:val="uk-UA"/>
              </w:rPr>
              <w:t>обсма-жувань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2,0-10,0</w:t>
            </w:r>
          </w:p>
          <w:p w:rsidR="0071672C" w:rsidRPr="0071672C" w:rsidRDefault="0071672C" w:rsidP="0071672C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proofErr w:type="spellStart"/>
            <w:r w:rsidRPr="0071672C">
              <w:rPr>
                <w:sz w:val="22"/>
                <w:szCs w:val="22"/>
                <w:lang w:val="uk-UA"/>
              </w:rPr>
              <w:t> ½ О мм</w:t>
            </w:r>
            <w:proofErr w:type="spellEnd"/>
            <w:r w:rsidRPr="0071672C">
              <w:rPr>
                <w:sz w:val="22"/>
                <w:szCs w:val="22"/>
                <w:lang w:val="uk-UA"/>
              </w:rPr>
              <w:t>оль</w:t>
            </w:r>
            <w:r w:rsidRPr="0071672C">
              <w:rPr>
                <w:sz w:val="22"/>
                <w:szCs w:val="22"/>
                <w:lang w:val="en-US"/>
              </w:rPr>
              <w:t>/</w:t>
            </w:r>
            <w:r w:rsidRPr="0071672C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 xml:space="preserve">10 мг </w:t>
            </w:r>
          </w:p>
        </w:tc>
      </w:tr>
      <w:tr w:rsidR="0071672C" w:rsidRPr="0071672C" w:rsidTr="00D82BA4">
        <w:trPr>
          <w:trHeight w:val="471"/>
        </w:trPr>
        <w:tc>
          <w:tcPr>
            <w:tcW w:w="1526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«</w:t>
            </w:r>
            <w:proofErr w:type="spellStart"/>
            <w:r w:rsidRPr="0071672C">
              <w:rPr>
                <w:sz w:val="22"/>
                <w:szCs w:val="22"/>
                <w:lang w:val="uk-UA"/>
              </w:rPr>
              <w:t>Олейна</w:t>
            </w:r>
            <w:proofErr w:type="spellEnd"/>
            <w:r w:rsidRPr="0071672C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11,5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2,54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73,6</w:t>
            </w:r>
          </w:p>
        </w:tc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1672C" w:rsidRPr="0071672C" w:rsidTr="00D82BA4">
        <w:trPr>
          <w:trHeight w:val="549"/>
        </w:trPr>
        <w:tc>
          <w:tcPr>
            <w:tcW w:w="1526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E67B25">
              <w:rPr>
                <w:sz w:val="22"/>
                <w:szCs w:val="22"/>
                <w:lang w:val="uk-UA"/>
              </w:rPr>
              <w:t>«Сто</w:t>
            </w:r>
            <w:r w:rsidRPr="0071672C">
              <w:rPr>
                <w:sz w:val="22"/>
                <w:szCs w:val="22"/>
                <w:lang w:val="uk-UA"/>
              </w:rPr>
              <w:t>жар 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4,25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8,89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26,6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101,52</w:t>
            </w:r>
          </w:p>
        </w:tc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1672C" w:rsidRPr="0071672C" w:rsidTr="00D82BA4">
        <w:trPr>
          <w:trHeight w:val="415"/>
        </w:trPr>
        <w:tc>
          <w:tcPr>
            <w:tcW w:w="1526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«Щедрий Дар»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5,08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17,8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78,7</w:t>
            </w:r>
          </w:p>
        </w:tc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1672C" w:rsidRPr="0071672C" w:rsidTr="00D82BA4">
        <w:trPr>
          <w:trHeight w:val="408"/>
        </w:trPr>
        <w:tc>
          <w:tcPr>
            <w:tcW w:w="1526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«Чумак»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19,25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7,61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25,4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  <w:r w:rsidRPr="0071672C">
              <w:rPr>
                <w:sz w:val="22"/>
                <w:szCs w:val="22"/>
                <w:lang w:val="uk-UA"/>
              </w:rPr>
              <w:t>89</w:t>
            </w:r>
          </w:p>
        </w:tc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72C" w:rsidRPr="0071672C" w:rsidRDefault="0071672C" w:rsidP="0071672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1672C" w:rsidRPr="00E67B25" w:rsidRDefault="0071672C" w:rsidP="0071672C">
      <w:pPr>
        <w:pStyle w:val="a4"/>
        <w:jc w:val="both"/>
        <w:rPr>
          <w:sz w:val="22"/>
          <w:szCs w:val="22"/>
          <w:lang w:val="uk-UA"/>
        </w:rPr>
      </w:pPr>
    </w:p>
    <w:p w:rsidR="00E67B25" w:rsidRDefault="00E67B25" w:rsidP="0071672C">
      <w:pPr>
        <w:pStyle w:val="a4"/>
        <w:jc w:val="both"/>
        <w:rPr>
          <w:sz w:val="22"/>
          <w:szCs w:val="22"/>
          <w:lang w:val="uk-UA"/>
        </w:rPr>
      </w:pPr>
    </w:p>
    <w:p w:rsidR="00E67B25" w:rsidRDefault="00E67B25" w:rsidP="0071672C">
      <w:pPr>
        <w:pStyle w:val="a4"/>
        <w:jc w:val="both"/>
        <w:rPr>
          <w:sz w:val="22"/>
          <w:szCs w:val="22"/>
          <w:lang w:val="uk-UA"/>
        </w:rPr>
      </w:pPr>
    </w:p>
    <w:p w:rsidR="00E67B25" w:rsidRDefault="00E67B25" w:rsidP="0071672C">
      <w:pPr>
        <w:pStyle w:val="a4"/>
        <w:jc w:val="both"/>
        <w:rPr>
          <w:sz w:val="22"/>
          <w:szCs w:val="22"/>
          <w:lang w:val="uk-UA"/>
        </w:rPr>
      </w:pPr>
    </w:p>
    <w:p w:rsidR="00E67B25" w:rsidRDefault="00E67B25" w:rsidP="0071672C">
      <w:pPr>
        <w:pStyle w:val="a4"/>
        <w:jc w:val="both"/>
        <w:rPr>
          <w:sz w:val="22"/>
          <w:szCs w:val="22"/>
          <w:lang w:val="uk-UA"/>
        </w:rPr>
      </w:pPr>
    </w:p>
    <w:p w:rsidR="00E67B25" w:rsidRDefault="00E67B25" w:rsidP="0071672C">
      <w:pPr>
        <w:pStyle w:val="a4"/>
        <w:jc w:val="both"/>
        <w:rPr>
          <w:sz w:val="22"/>
          <w:szCs w:val="22"/>
          <w:lang w:val="uk-UA"/>
        </w:rPr>
      </w:pPr>
    </w:p>
    <w:p w:rsidR="00E67B25" w:rsidRDefault="00E67B25" w:rsidP="0071672C">
      <w:pPr>
        <w:pStyle w:val="a4"/>
        <w:jc w:val="both"/>
        <w:rPr>
          <w:sz w:val="22"/>
          <w:szCs w:val="22"/>
          <w:lang w:val="uk-UA"/>
        </w:rPr>
      </w:pPr>
    </w:p>
    <w:p w:rsidR="00E67B25" w:rsidRDefault="00E67B25" w:rsidP="0071672C">
      <w:pPr>
        <w:pStyle w:val="a4"/>
        <w:jc w:val="both"/>
        <w:rPr>
          <w:sz w:val="22"/>
          <w:szCs w:val="22"/>
          <w:lang w:val="uk-UA"/>
        </w:rPr>
      </w:pPr>
    </w:p>
    <w:p w:rsidR="00E67B25" w:rsidRDefault="00E67B25" w:rsidP="0071672C">
      <w:pPr>
        <w:pStyle w:val="a4"/>
        <w:jc w:val="both"/>
        <w:rPr>
          <w:sz w:val="22"/>
          <w:szCs w:val="22"/>
          <w:lang w:val="uk-UA"/>
        </w:rPr>
      </w:pPr>
    </w:p>
    <w:p w:rsidR="00E67B25" w:rsidRDefault="00E67B25" w:rsidP="0071672C">
      <w:pPr>
        <w:pStyle w:val="a4"/>
        <w:jc w:val="both"/>
        <w:rPr>
          <w:sz w:val="22"/>
          <w:szCs w:val="22"/>
          <w:lang w:val="uk-UA"/>
        </w:rPr>
      </w:pPr>
    </w:p>
    <w:p w:rsidR="00E67B25" w:rsidRDefault="00E67B25" w:rsidP="0071672C">
      <w:pPr>
        <w:pStyle w:val="a4"/>
        <w:jc w:val="both"/>
        <w:rPr>
          <w:sz w:val="22"/>
          <w:szCs w:val="22"/>
          <w:lang w:val="uk-UA"/>
        </w:rPr>
      </w:pPr>
    </w:p>
    <w:p w:rsidR="00E67B25" w:rsidRDefault="00E67B25" w:rsidP="0071672C">
      <w:pPr>
        <w:pStyle w:val="a4"/>
        <w:jc w:val="both"/>
        <w:rPr>
          <w:sz w:val="22"/>
          <w:szCs w:val="22"/>
          <w:lang w:val="uk-UA"/>
        </w:rPr>
      </w:pPr>
    </w:p>
    <w:p w:rsidR="00E67B25" w:rsidRDefault="00E67B25" w:rsidP="0071672C">
      <w:pPr>
        <w:pStyle w:val="a4"/>
        <w:jc w:val="both"/>
        <w:rPr>
          <w:sz w:val="22"/>
          <w:szCs w:val="22"/>
          <w:lang w:val="uk-UA"/>
        </w:rPr>
      </w:pPr>
    </w:p>
    <w:p w:rsidR="00E67B25" w:rsidRDefault="00E67B25" w:rsidP="0071672C">
      <w:pPr>
        <w:pStyle w:val="a4"/>
        <w:jc w:val="both"/>
        <w:rPr>
          <w:sz w:val="22"/>
          <w:szCs w:val="22"/>
          <w:lang w:val="uk-UA"/>
        </w:rPr>
      </w:pPr>
    </w:p>
    <w:p w:rsidR="00E67B25" w:rsidRDefault="00E67B25" w:rsidP="0071672C">
      <w:pPr>
        <w:pStyle w:val="a4"/>
        <w:jc w:val="both"/>
        <w:rPr>
          <w:sz w:val="22"/>
          <w:szCs w:val="22"/>
          <w:lang w:val="uk-UA"/>
        </w:rPr>
      </w:pPr>
    </w:p>
    <w:p w:rsidR="00E67B25" w:rsidRDefault="00E67B25" w:rsidP="0071672C">
      <w:pPr>
        <w:pStyle w:val="a4"/>
        <w:jc w:val="both"/>
        <w:rPr>
          <w:sz w:val="22"/>
          <w:szCs w:val="22"/>
          <w:lang w:val="uk-UA"/>
        </w:rPr>
      </w:pPr>
    </w:p>
    <w:p w:rsidR="00D82BA4" w:rsidRDefault="00D82BA4" w:rsidP="00E67B25">
      <w:pPr>
        <w:pStyle w:val="a4"/>
        <w:ind w:left="0" w:firstLine="851"/>
        <w:jc w:val="both"/>
        <w:rPr>
          <w:sz w:val="22"/>
          <w:szCs w:val="22"/>
          <w:lang w:val="uk-UA"/>
        </w:rPr>
      </w:pPr>
    </w:p>
    <w:p w:rsidR="00676539" w:rsidRPr="00E67B25" w:rsidRDefault="00676539" w:rsidP="00E67B25">
      <w:pPr>
        <w:pStyle w:val="a4"/>
        <w:ind w:left="0" w:firstLine="851"/>
        <w:jc w:val="both"/>
        <w:rPr>
          <w:sz w:val="22"/>
          <w:szCs w:val="22"/>
          <w:lang w:val="uk-UA"/>
        </w:rPr>
      </w:pPr>
      <w:r w:rsidRPr="00E67B25">
        <w:rPr>
          <w:sz w:val="22"/>
          <w:szCs w:val="22"/>
          <w:lang w:val="uk-UA"/>
        </w:rPr>
        <w:t xml:space="preserve">У ході експерименту було встановлено, що всі зразки досліджуваних олій до термічної обробки за показниками </w:t>
      </w:r>
      <w:proofErr w:type="spellStart"/>
      <w:r w:rsidRPr="00E67B25">
        <w:rPr>
          <w:sz w:val="22"/>
          <w:szCs w:val="22"/>
          <w:lang w:val="uk-UA"/>
        </w:rPr>
        <w:t>пероксидного</w:t>
      </w:r>
      <w:proofErr w:type="spellEnd"/>
      <w:r w:rsidRPr="00E67B25">
        <w:rPr>
          <w:sz w:val="22"/>
          <w:szCs w:val="22"/>
          <w:lang w:val="uk-UA"/>
        </w:rPr>
        <w:t xml:space="preserve"> та йодного числа відповідають нормам ДСТУ4492:2005.</w:t>
      </w:r>
    </w:p>
    <w:p w:rsidR="0076635C" w:rsidRPr="00E67B25" w:rsidRDefault="00676539" w:rsidP="00E67B25">
      <w:pPr>
        <w:pStyle w:val="a4"/>
        <w:ind w:left="0" w:firstLine="851"/>
        <w:jc w:val="both"/>
        <w:rPr>
          <w:sz w:val="22"/>
          <w:szCs w:val="22"/>
          <w:lang w:val="uk-UA"/>
        </w:rPr>
      </w:pPr>
      <w:r w:rsidRPr="00E67B25">
        <w:rPr>
          <w:sz w:val="22"/>
          <w:szCs w:val="22"/>
          <w:lang w:val="uk-UA"/>
        </w:rPr>
        <w:t xml:space="preserve">Після проведення одноразової термічної обробки зразків, було встановлено перевищення норм вмісту пероксидів у олії </w:t>
      </w:r>
      <w:proofErr w:type="spellStart"/>
      <w:r w:rsidR="0076635C" w:rsidRPr="00E67B25">
        <w:rPr>
          <w:sz w:val="22"/>
          <w:szCs w:val="22"/>
          <w:lang w:val="uk-UA"/>
        </w:rPr>
        <w:t>тм</w:t>
      </w:r>
      <w:proofErr w:type="spellEnd"/>
      <w:r w:rsidR="0076635C" w:rsidRPr="00E67B25">
        <w:rPr>
          <w:sz w:val="22"/>
          <w:szCs w:val="22"/>
          <w:lang w:val="uk-UA"/>
        </w:rPr>
        <w:t xml:space="preserve"> «Чумак», а за значенням йодного числа – у всіх зразках.</w:t>
      </w:r>
    </w:p>
    <w:p w:rsidR="00676539" w:rsidRPr="00E67B25" w:rsidRDefault="0076635C" w:rsidP="00E67B25">
      <w:pPr>
        <w:pStyle w:val="a4"/>
        <w:ind w:left="0" w:firstLine="851"/>
        <w:jc w:val="both"/>
        <w:rPr>
          <w:sz w:val="22"/>
          <w:szCs w:val="22"/>
          <w:lang w:val="uk-UA"/>
        </w:rPr>
      </w:pPr>
      <w:r w:rsidRPr="00E67B25">
        <w:rPr>
          <w:sz w:val="22"/>
          <w:szCs w:val="22"/>
          <w:lang w:val="uk-UA"/>
        </w:rPr>
        <w:t>Після проведення трьохкратної термічної обр</w:t>
      </w:r>
      <w:r w:rsidR="00E67B25">
        <w:rPr>
          <w:sz w:val="22"/>
          <w:szCs w:val="22"/>
          <w:lang w:val="uk-UA"/>
        </w:rPr>
        <w:t>обки значні перевищення норм за д</w:t>
      </w:r>
      <w:r w:rsidRPr="00E67B25">
        <w:rPr>
          <w:sz w:val="22"/>
          <w:szCs w:val="22"/>
          <w:lang w:val="uk-UA"/>
        </w:rPr>
        <w:t>осліджуваними показниками були виявлені абсолютно у всіх зразках.</w:t>
      </w:r>
      <w:r w:rsidR="00676539" w:rsidRPr="00E67B25">
        <w:rPr>
          <w:sz w:val="22"/>
          <w:szCs w:val="22"/>
          <w:lang w:val="uk-UA"/>
        </w:rPr>
        <w:t xml:space="preserve"> </w:t>
      </w:r>
    </w:p>
    <w:p w:rsidR="0076635C" w:rsidRDefault="0076635C" w:rsidP="00E67B25">
      <w:pPr>
        <w:pStyle w:val="a4"/>
        <w:ind w:left="0" w:firstLine="851"/>
        <w:jc w:val="both"/>
        <w:rPr>
          <w:sz w:val="22"/>
          <w:szCs w:val="22"/>
          <w:lang w:val="uk-UA"/>
        </w:rPr>
      </w:pPr>
      <w:r w:rsidRPr="00E67B25">
        <w:rPr>
          <w:sz w:val="22"/>
          <w:szCs w:val="22"/>
          <w:lang w:val="uk-UA"/>
        </w:rPr>
        <w:t>Отже, вживання у їжу продуктів, що були приготовані на олії, яку неодноразово піддавали термічній обробці має негативний вплив на стан здоров′я споживачів.</w:t>
      </w:r>
    </w:p>
    <w:p w:rsidR="00D82BA4" w:rsidRDefault="00D82BA4" w:rsidP="00E67B25">
      <w:pPr>
        <w:pStyle w:val="a4"/>
        <w:ind w:left="0" w:firstLine="851"/>
        <w:jc w:val="both"/>
        <w:rPr>
          <w:sz w:val="22"/>
          <w:szCs w:val="22"/>
          <w:lang w:val="uk-UA"/>
        </w:rPr>
      </w:pPr>
    </w:p>
    <w:p w:rsidR="00D82BA4" w:rsidRDefault="00D82BA4" w:rsidP="00D82BA4">
      <w:pPr>
        <w:pStyle w:val="a4"/>
        <w:ind w:left="0" w:firstLine="851"/>
        <w:jc w:val="center"/>
        <w:rPr>
          <w:b/>
          <w:sz w:val="22"/>
          <w:szCs w:val="22"/>
          <w:lang w:val="uk-UA"/>
        </w:rPr>
      </w:pPr>
      <w:r w:rsidRPr="00D82BA4">
        <w:rPr>
          <w:b/>
          <w:sz w:val="22"/>
          <w:szCs w:val="22"/>
          <w:lang w:val="uk-UA"/>
        </w:rPr>
        <w:lastRenderedPageBreak/>
        <w:t>Література</w:t>
      </w:r>
    </w:p>
    <w:p w:rsidR="00D82BA4" w:rsidRDefault="00D82BA4" w:rsidP="00D82BA4">
      <w:pPr>
        <w:pStyle w:val="a4"/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ДСТУ 4492:2005. Олія соняшникова. Технічні умови.</w:t>
      </w:r>
    </w:p>
    <w:p w:rsidR="00D82BA4" w:rsidRDefault="00D82BA4" w:rsidP="00D82BA4">
      <w:pPr>
        <w:pStyle w:val="a4"/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ГОСТ 5475-69. Масла </w:t>
      </w:r>
      <w:proofErr w:type="spellStart"/>
      <w:r>
        <w:rPr>
          <w:sz w:val="22"/>
          <w:szCs w:val="22"/>
          <w:lang w:val="uk-UA"/>
        </w:rPr>
        <w:t>растительные</w:t>
      </w:r>
      <w:proofErr w:type="spellEnd"/>
      <w:r>
        <w:rPr>
          <w:sz w:val="22"/>
          <w:szCs w:val="22"/>
          <w:lang w:val="uk-UA"/>
        </w:rPr>
        <w:t xml:space="preserve">. </w:t>
      </w:r>
      <w:proofErr w:type="spellStart"/>
      <w:r>
        <w:rPr>
          <w:sz w:val="22"/>
          <w:szCs w:val="22"/>
          <w:lang w:val="uk-UA"/>
        </w:rPr>
        <w:t>Методы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определения</w:t>
      </w:r>
      <w:proofErr w:type="spellEnd"/>
      <w:r>
        <w:rPr>
          <w:sz w:val="22"/>
          <w:szCs w:val="22"/>
          <w:lang w:val="uk-UA"/>
        </w:rPr>
        <w:t xml:space="preserve"> йодного числа.</w:t>
      </w:r>
    </w:p>
    <w:p w:rsidR="00D82BA4" w:rsidRPr="00D82BA4" w:rsidRDefault="00D82BA4" w:rsidP="00D82BA4">
      <w:pPr>
        <w:pStyle w:val="a4"/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ГОСТ 26593-85. Масла </w:t>
      </w:r>
      <w:proofErr w:type="spellStart"/>
      <w:r>
        <w:rPr>
          <w:sz w:val="22"/>
          <w:szCs w:val="22"/>
          <w:lang w:val="uk-UA"/>
        </w:rPr>
        <w:t>растительные</w:t>
      </w:r>
      <w:proofErr w:type="spellEnd"/>
      <w:r>
        <w:rPr>
          <w:sz w:val="22"/>
          <w:szCs w:val="22"/>
          <w:lang w:val="uk-UA"/>
        </w:rPr>
        <w:t xml:space="preserve">. </w:t>
      </w:r>
      <w:proofErr w:type="spellStart"/>
      <w:r>
        <w:rPr>
          <w:sz w:val="22"/>
          <w:szCs w:val="22"/>
          <w:lang w:val="uk-UA"/>
        </w:rPr>
        <w:t>Методы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измерения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перекисного</w:t>
      </w:r>
      <w:proofErr w:type="spellEnd"/>
      <w:r>
        <w:rPr>
          <w:sz w:val="22"/>
          <w:szCs w:val="22"/>
          <w:lang w:val="uk-UA"/>
        </w:rPr>
        <w:t xml:space="preserve"> числа.</w:t>
      </w:r>
    </w:p>
    <w:sectPr w:rsidR="00D82BA4" w:rsidRPr="00D82BA4" w:rsidSect="00E67B25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31DF1"/>
    <w:multiLevelType w:val="hybridMultilevel"/>
    <w:tmpl w:val="3F1EBA72"/>
    <w:lvl w:ilvl="0" w:tplc="DD56B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5AD2DDF"/>
    <w:multiLevelType w:val="hybridMultilevel"/>
    <w:tmpl w:val="164C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86"/>
    <w:rsid w:val="00131895"/>
    <w:rsid w:val="00237E93"/>
    <w:rsid w:val="003527E9"/>
    <w:rsid w:val="00546E86"/>
    <w:rsid w:val="00590EBE"/>
    <w:rsid w:val="005A2182"/>
    <w:rsid w:val="00676539"/>
    <w:rsid w:val="0071672C"/>
    <w:rsid w:val="0076635C"/>
    <w:rsid w:val="008669C8"/>
    <w:rsid w:val="00D82BA4"/>
    <w:rsid w:val="00E26232"/>
    <w:rsid w:val="00E6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7E9"/>
  </w:style>
  <w:style w:type="paragraph" w:styleId="a4">
    <w:name w:val="List Paragraph"/>
    <w:basedOn w:val="a"/>
    <w:uiPriority w:val="34"/>
    <w:qFormat/>
    <w:rsid w:val="00716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7E9"/>
  </w:style>
  <w:style w:type="paragraph" w:styleId="a4">
    <w:name w:val="List Paragraph"/>
    <w:basedOn w:val="a"/>
    <w:uiPriority w:val="34"/>
    <w:qFormat/>
    <w:rsid w:val="00716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2013-11-27T21:33:00Z</dcterms:created>
  <dcterms:modified xsi:type="dcterms:W3CDTF">2013-11-27T21:33:00Z</dcterms:modified>
</cp:coreProperties>
</file>