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76" w:rsidRPr="00855076" w:rsidRDefault="00855076" w:rsidP="00855076">
      <w:pPr>
        <w:jc w:val="center"/>
        <w:rPr>
          <w:b/>
          <w:bCs/>
          <w:sz w:val="22"/>
          <w:szCs w:val="22"/>
        </w:rPr>
      </w:pPr>
      <w:r w:rsidRPr="00855076">
        <w:rPr>
          <w:b/>
          <w:bCs/>
          <w:sz w:val="22"/>
          <w:szCs w:val="22"/>
        </w:rPr>
        <w:t xml:space="preserve">ЕТНОДИЗАЙНЕРСЬКІ  ПІДХОДИ ДО ФОРМУВАННЯ  ЕСТЕТИКИ ПРЕДМЕТНОГО СЕРЕДОВИЩА </w:t>
      </w:r>
    </w:p>
    <w:p w:rsidR="00855076" w:rsidRPr="00855076" w:rsidRDefault="00855076" w:rsidP="00855076">
      <w:pPr>
        <w:spacing w:line="360" w:lineRule="auto"/>
        <w:jc w:val="center"/>
        <w:rPr>
          <w:b/>
          <w:bCs/>
          <w:sz w:val="22"/>
          <w:szCs w:val="22"/>
        </w:rPr>
      </w:pPr>
      <w:r w:rsidRPr="00855076">
        <w:rPr>
          <w:b/>
          <w:bCs/>
          <w:sz w:val="22"/>
          <w:szCs w:val="22"/>
        </w:rPr>
        <w:t>ОБ</w:t>
      </w:r>
      <w:r w:rsidRPr="00855076">
        <w:rPr>
          <w:b/>
          <w:bCs/>
          <w:sz w:val="22"/>
          <w:szCs w:val="22"/>
          <w:lang w:val="ru-RU"/>
        </w:rPr>
        <w:t>’</w:t>
      </w:r>
      <w:r w:rsidRPr="00855076">
        <w:rPr>
          <w:b/>
          <w:bCs/>
          <w:sz w:val="22"/>
          <w:szCs w:val="22"/>
        </w:rPr>
        <w:t>ЄКТІВ ГОТЕЛЬНО-РЕСТОРАНОГО ГОСПОДАРСТВА</w:t>
      </w:r>
    </w:p>
    <w:p w:rsidR="00855076" w:rsidRPr="00855076" w:rsidRDefault="00855076" w:rsidP="00855076">
      <w:pPr>
        <w:jc w:val="both"/>
        <w:rPr>
          <w:sz w:val="22"/>
          <w:szCs w:val="22"/>
        </w:rPr>
      </w:pPr>
      <w:r w:rsidRPr="00855076">
        <w:rPr>
          <w:sz w:val="22"/>
          <w:szCs w:val="22"/>
        </w:rPr>
        <w:t>Л.М. Страшко канд. арх., доцент</w:t>
      </w:r>
    </w:p>
    <w:p w:rsidR="00855076" w:rsidRPr="00855076" w:rsidRDefault="00855076" w:rsidP="00855076">
      <w:pPr>
        <w:jc w:val="both"/>
        <w:rPr>
          <w:sz w:val="22"/>
          <w:szCs w:val="22"/>
        </w:rPr>
      </w:pPr>
      <w:r w:rsidRPr="00855076">
        <w:rPr>
          <w:sz w:val="22"/>
          <w:szCs w:val="22"/>
        </w:rPr>
        <w:t xml:space="preserve">Л.О. </w:t>
      </w:r>
      <w:proofErr w:type="spellStart"/>
      <w:r w:rsidRPr="00855076">
        <w:rPr>
          <w:sz w:val="22"/>
          <w:szCs w:val="22"/>
        </w:rPr>
        <w:t>Гриценко</w:t>
      </w:r>
      <w:proofErr w:type="spellEnd"/>
      <w:r w:rsidRPr="00855076">
        <w:rPr>
          <w:sz w:val="22"/>
          <w:szCs w:val="22"/>
        </w:rPr>
        <w:t xml:space="preserve"> канд. </w:t>
      </w:r>
      <w:proofErr w:type="spellStart"/>
      <w:r w:rsidRPr="00855076">
        <w:rPr>
          <w:sz w:val="22"/>
          <w:szCs w:val="22"/>
        </w:rPr>
        <w:t>пед.наук</w:t>
      </w:r>
      <w:proofErr w:type="spellEnd"/>
      <w:r w:rsidRPr="00855076">
        <w:rPr>
          <w:sz w:val="22"/>
          <w:szCs w:val="22"/>
        </w:rPr>
        <w:t>, доцент</w:t>
      </w:r>
    </w:p>
    <w:p w:rsidR="00855076" w:rsidRPr="00855076" w:rsidRDefault="00855076" w:rsidP="00855076">
      <w:pPr>
        <w:jc w:val="both"/>
        <w:rPr>
          <w:sz w:val="22"/>
          <w:szCs w:val="22"/>
        </w:rPr>
      </w:pPr>
    </w:p>
    <w:p w:rsidR="00855076" w:rsidRPr="00855076" w:rsidRDefault="00855076" w:rsidP="00855076">
      <w:pPr>
        <w:ind w:firstLine="360"/>
        <w:jc w:val="both"/>
        <w:rPr>
          <w:sz w:val="22"/>
          <w:szCs w:val="22"/>
        </w:rPr>
      </w:pPr>
      <w:r w:rsidRPr="00855076">
        <w:rPr>
          <w:sz w:val="22"/>
          <w:szCs w:val="22"/>
        </w:rPr>
        <w:t xml:space="preserve">У 21-му столітті, коли на ринку товарів і послуг час дефіциту уже давно позаду, за умов жорсткої конкуренції, крім якості і функціональності товару для його просування важливими є маркетинг, </w:t>
      </w:r>
      <w:r w:rsidRPr="00855076">
        <w:rPr>
          <w:sz w:val="22"/>
          <w:szCs w:val="22"/>
          <w:lang w:val="en-US"/>
        </w:rPr>
        <w:t>Public</w:t>
      </w:r>
      <w:r w:rsidRPr="00855076">
        <w:rPr>
          <w:sz w:val="22"/>
          <w:szCs w:val="22"/>
        </w:rPr>
        <w:t xml:space="preserve"> </w:t>
      </w:r>
      <w:r w:rsidRPr="00855076">
        <w:rPr>
          <w:sz w:val="22"/>
          <w:szCs w:val="22"/>
          <w:lang w:val="en-US"/>
        </w:rPr>
        <w:t>relation</w:t>
      </w:r>
      <w:r w:rsidRPr="00855076">
        <w:rPr>
          <w:sz w:val="22"/>
          <w:szCs w:val="22"/>
        </w:rPr>
        <w:t xml:space="preserve"> та дизайн. Тому незаперечним є твердження, що однією з важливих умов  успішної діяльності об’єктів готельно-ресторанного господарства (ГРГ) є залучення професійних дизайнерів для вирішення комплексу питань, пов’язаних із формуванням іміджу та фірмового стилю закладу. </w:t>
      </w:r>
    </w:p>
    <w:p w:rsidR="00855076" w:rsidRPr="00855076" w:rsidRDefault="00855076" w:rsidP="00855076">
      <w:pPr>
        <w:ind w:firstLine="284"/>
        <w:jc w:val="both"/>
        <w:rPr>
          <w:color w:val="000000"/>
          <w:sz w:val="22"/>
          <w:szCs w:val="22"/>
          <w:lang w:val="ru-RU" w:eastAsia="ru-RU"/>
        </w:rPr>
      </w:pPr>
      <w:r w:rsidRPr="00855076">
        <w:rPr>
          <w:color w:val="000000"/>
          <w:sz w:val="22"/>
          <w:szCs w:val="22"/>
          <w:lang w:eastAsia="ru-RU"/>
        </w:rPr>
        <w:t xml:space="preserve">Слід відзначити, що в умовах становлення незалежної Української держави значно зріс інтерес до неповторних досягнень національної культури, її історії, традицій, усвідомлюється її унікальність.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Помітне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зростання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r w:rsidRPr="00855076">
        <w:rPr>
          <w:color w:val="000000"/>
          <w:sz w:val="22"/>
          <w:szCs w:val="22"/>
          <w:lang w:eastAsia="ru-RU"/>
        </w:rPr>
        <w:t>і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нтересу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до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етнодизайну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,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його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розвиток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на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сучасному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етапі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актуалізують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розгляд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особливостей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етнодизайнерських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proofErr w:type="gramStart"/>
      <w:r w:rsidRPr="00855076">
        <w:rPr>
          <w:color w:val="000000"/>
          <w:sz w:val="22"/>
          <w:szCs w:val="22"/>
          <w:lang w:val="ru-RU" w:eastAsia="ru-RU"/>
        </w:rPr>
        <w:t>п</w:t>
      </w:r>
      <w:proofErr w:type="gramEnd"/>
      <w:r w:rsidRPr="00855076">
        <w:rPr>
          <w:color w:val="000000"/>
          <w:sz w:val="22"/>
          <w:szCs w:val="22"/>
          <w:lang w:val="ru-RU" w:eastAsia="ru-RU"/>
        </w:rPr>
        <w:t>ідходів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до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формування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естетики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предметного </w:t>
      </w:r>
      <w:proofErr w:type="spellStart"/>
      <w:r w:rsidRPr="00855076">
        <w:rPr>
          <w:color w:val="000000"/>
          <w:sz w:val="22"/>
          <w:szCs w:val="22"/>
          <w:lang w:val="ru-RU" w:eastAsia="ru-RU"/>
        </w:rPr>
        <w:t>середовища</w:t>
      </w:r>
      <w:proofErr w:type="spellEnd"/>
      <w:r w:rsidRPr="00855076">
        <w:rPr>
          <w:color w:val="000000"/>
          <w:sz w:val="22"/>
          <w:szCs w:val="22"/>
          <w:lang w:val="ru-RU" w:eastAsia="ru-RU"/>
        </w:rPr>
        <w:t xml:space="preserve"> об’</w:t>
      </w:r>
      <w:proofErr w:type="spellStart"/>
      <w:r w:rsidRPr="00855076">
        <w:rPr>
          <w:color w:val="000000"/>
          <w:sz w:val="22"/>
          <w:szCs w:val="22"/>
          <w:lang w:eastAsia="ru-RU"/>
        </w:rPr>
        <w:t>єктів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ГРГ.</w:t>
      </w:r>
    </w:p>
    <w:p w:rsidR="00855076" w:rsidRPr="00855076" w:rsidRDefault="00855076" w:rsidP="00855076">
      <w:pPr>
        <w:ind w:firstLine="360"/>
        <w:jc w:val="both"/>
        <w:rPr>
          <w:color w:val="000000"/>
          <w:sz w:val="22"/>
          <w:szCs w:val="22"/>
          <w:lang w:eastAsia="ru-RU"/>
        </w:rPr>
      </w:pPr>
      <w:r w:rsidRPr="00855076">
        <w:rPr>
          <w:color w:val="000000"/>
          <w:sz w:val="22"/>
          <w:szCs w:val="22"/>
          <w:lang w:eastAsia="ru-RU"/>
        </w:rPr>
        <w:t xml:space="preserve">Категорія </w:t>
      </w:r>
      <w:r w:rsidRPr="00855076">
        <w:rPr>
          <w:i/>
          <w:iCs/>
          <w:color w:val="000000"/>
          <w:sz w:val="22"/>
          <w:szCs w:val="22"/>
          <w:lang w:eastAsia="ru-RU"/>
        </w:rPr>
        <w:t>«</w:t>
      </w:r>
      <w:proofErr w:type="spellStart"/>
      <w:r w:rsidRPr="00855076">
        <w:rPr>
          <w:i/>
          <w:iCs/>
          <w:color w:val="000000"/>
          <w:sz w:val="22"/>
          <w:szCs w:val="22"/>
          <w:lang w:eastAsia="ru-RU"/>
        </w:rPr>
        <w:t>етнодизайн</w:t>
      </w:r>
      <w:proofErr w:type="spellEnd"/>
      <w:r w:rsidRPr="00855076">
        <w:rPr>
          <w:i/>
          <w:iCs/>
          <w:color w:val="000000"/>
          <w:sz w:val="22"/>
          <w:szCs w:val="22"/>
          <w:lang w:eastAsia="ru-RU"/>
        </w:rPr>
        <w:t>»</w:t>
      </w:r>
      <w:r w:rsidRPr="00855076">
        <w:rPr>
          <w:color w:val="000000"/>
          <w:sz w:val="22"/>
          <w:szCs w:val="22"/>
          <w:lang w:eastAsia="ru-RU"/>
        </w:rPr>
        <w:t xml:space="preserve"> розглядається нами як важлива та невід’ємна складова дизайну, що ґрунтується на традиціях народного мистецтва і сучасних технологіях дизайну, тому інтегрує художню, інженерну і гуманітарну складові дизайн-діяльності. Отже, </w:t>
      </w:r>
      <w:proofErr w:type="spellStart"/>
      <w:r w:rsidRPr="00855076">
        <w:rPr>
          <w:color w:val="000000"/>
          <w:sz w:val="22"/>
          <w:szCs w:val="22"/>
          <w:lang w:eastAsia="ru-RU"/>
        </w:rPr>
        <w:t>етнодизайнерські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проекти можуть бути спрямовані як на трансформацію елементів національної культури, зокрема декоративно-ужиткового мистецтва в сучасні промислові вироби (послуги), так і на органічне включення  таких елементів (часом унікальних) до композиції предметного середовища сучасних об</w:t>
      </w:r>
      <w:r w:rsidRPr="00855076">
        <w:rPr>
          <w:color w:val="000000"/>
          <w:sz w:val="22"/>
          <w:szCs w:val="22"/>
          <w:lang w:val="ru-RU" w:eastAsia="ru-RU"/>
        </w:rPr>
        <w:t>’</w:t>
      </w:r>
      <w:proofErr w:type="spellStart"/>
      <w:r w:rsidRPr="00855076">
        <w:rPr>
          <w:color w:val="000000"/>
          <w:sz w:val="22"/>
          <w:szCs w:val="22"/>
          <w:lang w:eastAsia="ru-RU"/>
        </w:rPr>
        <w:t>єктів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. </w:t>
      </w:r>
    </w:p>
    <w:p w:rsidR="00855076" w:rsidRPr="00855076" w:rsidRDefault="00855076" w:rsidP="00855076">
      <w:pPr>
        <w:ind w:firstLine="360"/>
        <w:jc w:val="both"/>
        <w:rPr>
          <w:color w:val="000000"/>
          <w:sz w:val="22"/>
          <w:szCs w:val="22"/>
          <w:lang w:eastAsia="ru-RU"/>
        </w:rPr>
      </w:pPr>
      <w:proofErr w:type="spellStart"/>
      <w:r w:rsidRPr="00855076">
        <w:rPr>
          <w:color w:val="000000"/>
          <w:sz w:val="22"/>
          <w:szCs w:val="22"/>
          <w:lang w:eastAsia="ru-RU"/>
        </w:rPr>
        <w:t>Етнодизайнерські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підходи до формування </w:t>
      </w:r>
      <w:r w:rsidRPr="00855076">
        <w:rPr>
          <w:b/>
          <w:bCs/>
          <w:color w:val="000000"/>
          <w:sz w:val="22"/>
          <w:szCs w:val="22"/>
          <w:lang w:eastAsia="ru-RU"/>
        </w:rPr>
        <w:t>фірмового стилю</w:t>
      </w:r>
      <w:r w:rsidRPr="00855076">
        <w:rPr>
          <w:color w:val="000000"/>
          <w:sz w:val="22"/>
          <w:szCs w:val="22"/>
          <w:lang w:eastAsia="ru-RU"/>
        </w:rPr>
        <w:t xml:space="preserve"> об</w:t>
      </w:r>
      <w:r w:rsidRPr="00855076">
        <w:rPr>
          <w:color w:val="000000"/>
          <w:sz w:val="22"/>
          <w:szCs w:val="22"/>
          <w:lang w:val="ru-RU" w:eastAsia="ru-RU"/>
        </w:rPr>
        <w:t>’</w:t>
      </w:r>
      <w:proofErr w:type="spellStart"/>
      <w:r w:rsidRPr="00855076">
        <w:rPr>
          <w:color w:val="000000"/>
          <w:sz w:val="22"/>
          <w:szCs w:val="22"/>
          <w:lang w:eastAsia="ru-RU"/>
        </w:rPr>
        <w:t>єктів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ГРГ забезпечують:</w:t>
      </w:r>
    </w:p>
    <w:p w:rsidR="00855076" w:rsidRPr="00855076" w:rsidRDefault="00855076" w:rsidP="00855076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855076">
        <w:rPr>
          <w:color w:val="000000"/>
          <w:sz w:val="22"/>
          <w:szCs w:val="22"/>
          <w:lang w:eastAsia="ru-RU"/>
        </w:rPr>
        <w:t>і</w:t>
      </w:r>
      <w:r w:rsidRPr="00855076">
        <w:rPr>
          <w:sz w:val="22"/>
          <w:szCs w:val="22"/>
        </w:rPr>
        <w:t>дентифікацію продукції підприємства;</w:t>
      </w:r>
    </w:p>
    <w:p w:rsidR="00855076" w:rsidRPr="00855076" w:rsidRDefault="00855076" w:rsidP="00855076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виділення продукції підприємства із загальної маси аналогічних продуктів і пропозицій;</w:t>
      </w:r>
    </w:p>
    <w:p w:rsidR="00855076" w:rsidRPr="00855076" w:rsidRDefault="00855076" w:rsidP="00855076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формування чіткої ринкової позиції підприємства.</w:t>
      </w:r>
    </w:p>
    <w:p w:rsidR="00855076" w:rsidRPr="00855076" w:rsidRDefault="00855076" w:rsidP="00855076">
      <w:pPr>
        <w:ind w:firstLine="720"/>
        <w:jc w:val="both"/>
        <w:rPr>
          <w:sz w:val="22"/>
          <w:szCs w:val="22"/>
        </w:rPr>
      </w:pPr>
      <w:r w:rsidRPr="00855076">
        <w:rPr>
          <w:sz w:val="22"/>
          <w:szCs w:val="22"/>
        </w:rPr>
        <w:t xml:space="preserve">Створення </w:t>
      </w:r>
      <w:r w:rsidRPr="00855076">
        <w:rPr>
          <w:b/>
          <w:sz w:val="22"/>
          <w:szCs w:val="22"/>
        </w:rPr>
        <w:t>фірмового стилю об’єкту ГРГ</w:t>
      </w:r>
      <w:r w:rsidRPr="00855076">
        <w:rPr>
          <w:sz w:val="22"/>
          <w:szCs w:val="22"/>
        </w:rPr>
        <w:t xml:space="preserve"> з використанням </w:t>
      </w:r>
      <w:proofErr w:type="spellStart"/>
      <w:r w:rsidRPr="00855076">
        <w:rPr>
          <w:sz w:val="22"/>
          <w:szCs w:val="22"/>
        </w:rPr>
        <w:t>етнодизайнерських</w:t>
      </w:r>
      <w:proofErr w:type="spellEnd"/>
      <w:r w:rsidRPr="00855076">
        <w:rPr>
          <w:sz w:val="22"/>
          <w:szCs w:val="22"/>
        </w:rPr>
        <w:t xml:space="preserve"> підходів включає розробку: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всебічного лінгвістичного дослідження товарного знаку і товарної марки в регіонах реалізації послуг;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proofErr w:type="spellStart"/>
      <w:r w:rsidRPr="00855076">
        <w:rPr>
          <w:sz w:val="22"/>
          <w:szCs w:val="22"/>
        </w:rPr>
        <w:lastRenderedPageBreak/>
        <w:t>слогану</w:t>
      </w:r>
      <w:proofErr w:type="spellEnd"/>
      <w:r w:rsidRPr="00855076">
        <w:rPr>
          <w:sz w:val="22"/>
          <w:szCs w:val="22"/>
        </w:rPr>
        <w:t xml:space="preserve"> (девізу) або системи </w:t>
      </w:r>
      <w:proofErr w:type="spellStart"/>
      <w:r w:rsidRPr="00855076">
        <w:rPr>
          <w:sz w:val="22"/>
          <w:szCs w:val="22"/>
        </w:rPr>
        <w:t>слоганів</w:t>
      </w:r>
      <w:proofErr w:type="spellEnd"/>
      <w:r w:rsidRPr="00855076">
        <w:rPr>
          <w:sz w:val="22"/>
          <w:szCs w:val="22"/>
        </w:rPr>
        <w:t>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фірмового знаку;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колірного і об'ємно-просторового вирішення товарного знаку, логотипу;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фірмових форматів усіх видів друкованої продукції;</w:t>
      </w:r>
    </w:p>
    <w:p w:rsidR="00855076" w:rsidRPr="00855076" w:rsidRDefault="00855076" w:rsidP="00855076">
      <w:pPr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інтер'єру номерів, офісних та робочих приміщень;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дизайну костюмів і спецодягу персоналу;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 xml:space="preserve">сувенірної і рекламної продукції; </w:t>
      </w:r>
    </w:p>
    <w:p w:rsidR="00855076" w:rsidRPr="00855076" w:rsidRDefault="00855076" w:rsidP="00855076">
      <w:pPr>
        <w:numPr>
          <w:ilvl w:val="1"/>
          <w:numId w:val="2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внутрішньої і зовнішньої візуальної інформації;</w:t>
      </w:r>
    </w:p>
    <w:p w:rsidR="00855076" w:rsidRPr="00855076" w:rsidRDefault="00855076" w:rsidP="00855076">
      <w:pPr>
        <w:numPr>
          <w:ilvl w:val="1"/>
          <w:numId w:val="3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прес-релізу;</w:t>
      </w:r>
    </w:p>
    <w:p w:rsidR="00855076" w:rsidRPr="00855076" w:rsidRDefault="00855076" w:rsidP="00855076">
      <w:pPr>
        <w:numPr>
          <w:ilvl w:val="1"/>
          <w:numId w:val="3"/>
        </w:numPr>
        <w:ind w:left="0" w:firstLine="426"/>
        <w:jc w:val="both"/>
        <w:rPr>
          <w:sz w:val="22"/>
          <w:szCs w:val="22"/>
        </w:rPr>
      </w:pPr>
      <w:r w:rsidRPr="00855076">
        <w:rPr>
          <w:sz w:val="22"/>
          <w:szCs w:val="22"/>
        </w:rPr>
        <w:t>упакування.</w:t>
      </w:r>
    </w:p>
    <w:p w:rsidR="00855076" w:rsidRPr="00855076" w:rsidRDefault="00855076" w:rsidP="00855076">
      <w:pPr>
        <w:ind w:firstLine="360"/>
        <w:jc w:val="both"/>
        <w:rPr>
          <w:sz w:val="22"/>
          <w:szCs w:val="22"/>
        </w:rPr>
      </w:pPr>
      <w:r w:rsidRPr="00855076">
        <w:rPr>
          <w:sz w:val="22"/>
          <w:szCs w:val="22"/>
        </w:rPr>
        <w:t xml:space="preserve">Використання </w:t>
      </w:r>
      <w:proofErr w:type="spellStart"/>
      <w:r w:rsidRPr="00855076">
        <w:rPr>
          <w:sz w:val="22"/>
          <w:szCs w:val="22"/>
        </w:rPr>
        <w:t>етнодизайнерських</w:t>
      </w:r>
      <w:proofErr w:type="spellEnd"/>
      <w:r w:rsidRPr="00855076">
        <w:rPr>
          <w:sz w:val="22"/>
          <w:szCs w:val="22"/>
        </w:rPr>
        <w:t xml:space="preserve"> підходів при формуванні фірмового стилю </w:t>
      </w:r>
      <w:r w:rsidRPr="00855076">
        <w:rPr>
          <w:color w:val="000000"/>
          <w:sz w:val="22"/>
          <w:szCs w:val="22"/>
          <w:lang w:eastAsia="ru-RU"/>
        </w:rPr>
        <w:t>об’єкта ГРГ</w:t>
      </w:r>
      <w:r w:rsidRPr="00855076">
        <w:rPr>
          <w:sz w:val="22"/>
          <w:szCs w:val="22"/>
        </w:rPr>
        <w:t xml:space="preserve"> забезпечує йому ряд переваг, а саме: допомагає клієнтам орієнтуватися в потоці інформації і швидко знаходити необхідний готель чи ресторан; підвищує ефективність реклами підприємства; знижує витрати на формування комунікацій; забезпечує досягнення необхідної єдності всієї реклами та інших засобів маркетингових комунікацій підприємства; сприяє підвищенню корпоративного духу в колективі; позитивно впливає на естетичні почуття клієнтів та персоналу і загальний естетичний рівень підприємства.</w:t>
      </w:r>
    </w:p>
    <w:p w:rsidR="00855076" w:rsidRPr="00855076" w:rsidRDefault="00855076" w:rsidP="00855076">
      <w:pPr>
        <w:ind w:firstLine="360"/>
        <w:jc w:val="both"/>
        <w:rPr>
          <w:color w:val="000000"/>
          <w:sz w:val="22"/>
          <w:szCs w:val="22"/>
          <w:lang w:eastAsia="ru-RU"/>
        </w:rPr>
      </w:pPr>
      <w:r w:rsidRPr="00855076">
        <w:rPr>
          <w:color w:val="000000"/>
          <w:sz w:val="22"/>
          <w:szCs w:val="22"/>
          <w:lang w:eastAsia="ru-RU"/>
        </w:rPr>
        <w:t xml:space="preserve">Аналіз сучасних </w:t>
      </w:r>
      <w:proofErr w:type="spellStart"/>
      <w:r w:rsidRPr="00855076">
        <w:rPr>
          <w:color w:val="000000"/>
          <w:sz w:val="22"/>
          <w:szCs w:val="22"/>
          <w:lang w:eastAsia="ru-RU"/>
        </w:rPr>
        <w:t>етнодизайнерських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підходів до формування естетики предметного середовища об</w:t>
      </w:r>
      <w:r w:rsidRPr="00855076">
        <w:rPr>
          <w:color w:val="000000"/>
          <w:sz w:val="22"/>
          <w:szCs w:val="22"/>
          <w:lang w:val="ru-RU" w:eastAsia="ru-RU"/>
        </w:rPr>
        <w:t>’</w:t>
      </w:r>
      <w:proofErr w:type="spellStart"/>
      <w:r w:rsidRPr="00855076">
        <w:rPr>
          <w:color w:val="000000"/>
          <w:sz w:val="22"/>
          <w:szCs w:val="22"/>
          <w:lang w:eastAsia="ru-RU"/>
        </w:rPr>
        <w:t>єктів</w:t>
      </w:r>
      <w:proofErr w:type="spellEnd"/>
      <w:r w:rsidRPr="00855076">
        <w:rPr>
          <w:color w:val="000000"/>
          <w:sz w:val="22"/>
          <w:szCs w:val="22"/>
          <w:lang w:eastAsia="ru-RU"/>
        </w:rPr>
        <w:t xml:space="preserve"> ГРГ дозволяє виділити основні з них:</w:t>
      </w:r>
    </w:p>
    <w:p w:rsidR="00855076" w:rsidRPr="00855076" w:rsidRDefault="00855076" w:rsidP="00855076">
      <w:pPr>
        <w:ind w:firstLine="360"/>
        <w:jc w:val="both"/>
        <w:rPr>
          <w:bCs/>
          <w:color w:val="000000"/>
          <w:sz w:val="22"/>
          <w:szCs w:val="22"/>
          <w:lang w:eastAsia="ru-RU"/>
        </w:rPr>
      </w:pPr>
      <w:r w:rsidRPr="00855076">
        <w:rPr>
          <w:color w:val="000000"/>
          <w:sz w:val="22"/>
          <w:szCs w:val="22"/>
          <w:lang w:eastAsia="ru-RU"/>
        </w:rPr>
        <w:t xml:space="preserve">1) проектна діяльність зі створення сучасних форм матеріального середовища з </w:t>
      </w:r>
      <w:r w:rsidRPr="00855076">
        <w:rPr>
          <w:bCs/>
          <w:color w:val="000000"/>
          <w:sz w:val="22"/>
          <w:szCs w:val="22"/>
          <w:lang w:eastAsia="ru-RU"/>
        </w:rPr>
        <w:t>використанням традиційних елементів культури певного етносу;</w:t>
      </w:r>
    </w:p>
    <w:p w:rsidR="00855076" w:rsidRPr="00855076" w:rsidRDefault="00855076" w:rsidP="00855076">
      <w:pPr>
        <w:ind w:firstLine="360"/>
        <w:jc w:val="both"/>
        <w:rPr>
          <w:color w:val="000000"/>
          <w:sz w:val="22"/>
          <w:szCs w:val="22"/>
          <w:lang w:eastAsia="ru-RU"/>
        </w:rPr>
      </w:pPr>
      <w:r w:rsidRPr="00855076">
        <w:rPr>
          <w:color w:val="000000"/>
          <w:sz w:val="22"/>
          <w:szCs w:val="22"/>
          <w:lang w:eastAsia="ru-RU"/>
        </w:rPr>
        <w:t xml:space="preserve">2) формування естетики предметного середовища - творча інноваційна діяльність, результатом якої є проект, в процесі реалізації якого </w:t>
      </w:r>
      <w:r w:rsidRPr="00855076">
        <w:rPr>
          <w:bCs/>
          <w:color w:val="000000"/>
          <w:sz w:val="22"/>
          <w:szCs w:val="22"/>
          <w:lang w:eastAsia="ru-RU"/>
        </w:rPr>
        <w:t>переосмислюються елементи етнічної культури і продукуються в новій стилізованій формі сучасні вироби</w:t>
      </w:r>
      <w:r w:rsidRPr="00855076">
        <w:rPr>
          <w:color w:val="000000"/>
          <w:sz w:val="22"/>
          <w:szCs w:val="22"/>
          <w:lang w:eastAsia="ru-RU"/>
        </w:rPr>
        <w:t>, що мають практичну і художню цінність та водночас зберігають образність національної культури.</w:t>
      </w:r>
    </w:p>
    <w:p w:rsidR="00855076" w:rsidRPr="00855076" w:rsidRDefault="00855076" w:rsidP="00855076">
      <w:pPr>
        <w:ind w:firstLine="360"/>
        <w:jc w:val="both"/>
        <w:rPr>
          <w:sz w:val="22"/>
          <w:szCs w:val="22"/>
          <w:lang w:eastAsia="ru-RU"/>
        </w:rPr>
      </w:pPr>
      <w:r w:rsidRPr="00855076">
        <w:rPr>
          <w:sz w:val="22"/>
          <w:szCs w:val="22"/>
          <w:lang w:eastAsia="ru-RU"/>
        </w:rPr>
        <w:t xml:space="preserve">Отже активне використання </w:t>
      </w:r>
      <w:proofErr w:type="spellStart"/>
      <w:r w:rsidRPr="00855076">
        <w:rPr>
          <w:sz w:val="22"/>
          <w:szCs w:val="22"/>
          <w:lang w:eastAsia="ru-RU"/>
        </w:rPr>
        <w:t>етнодизайнерських</w:t>
      </w:r>
      <w:proofErr w:type="spellEnd"/>
      <w:r w:rsidRPr="00855076">
        <w:rPr>
          <w:sz w:val="22"/>
          <w:szCs w:val="22"/>
          <w:lang w:eastAsia="ru-RU"/>
        </w:rPr>
        <w:t xml:space="preserve"> підходів до формування</w:t>
      </w:r>
      <w:r w:rsidRPr="00855076">
        <w:rPr>
          <w:b/>
          <w:bCs/>
          <w:sz w:val="22"/>
          <w:szCs w:val="22"/>
        </w:rPr>
        <w:t xml:space="preserve"> </w:t>
      </w:r>
      <w:r w:rsidRPr="00855076">
        <w:rPr>
          <w:sz w:val="22"/>
          <w:szCs w:val="22"/>
        </w:rPr>
        <w:t xml:space="preserve">естетики предметного середовища </w:t>
      </w:r>
      <w:r w:rsidRPr="00855076">
        <w:rPr>
          <w:color w:val="000000"/>
          <w:sz w:val="22"/>
          <w:szCs w:val="22"/>
          <w:lang w:eastAsia="ru-RU"/>
        </w:rPr>
        <w:t xml:space="preserve">об’єктів ГРГ, яке </w:t>
      </w:r>
      <w:r w:rsidRPr="00855076">
        <w:rPr>
          <w:sz w:val="22"/>
          <w:szCs w:val="22"/>
          <w:lang w:eastAsia="ru-RU"/>
        </w:rPr>
        <w:t xml:space="preserve">є надзвичайно популярним та співзвучним з ідеєю національного відродження суспільства, дозволяє поєднувати кращі культурні надбання минулого з сучасністю та сприяє </w:t>
      </w:r>
      <w:r w:rsidRPr="00855076">
        <w:rPr>
          <w:sz w:val="22"/>
          <w:szCs w:val="22"/>
        </w:rPr>
        <w:t>успішній діяльності цих підприємств.</w:t>
      </w:r>
    </w:p>
    <w:p w:rsidR="00A363A9" w:rsidRPr="00855076" w:rsidRDefault="00A363A9">
      <w:pPr>
        <w:rPr>
          <w:sz w:val="22"/>
          <w:szCs w:val="22"/>
        </w:rPr>
      </w:pPr>
    </w:p>
    <w:sectPr w:rsidR="00A363A9" w:rsidRPr="00855076" w:rsidSect="00855076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3BA"/>
    <w:multiLevelType w:val="hybridMultilevel"/>
    <w:tmpl w:val="F4C02A18"/>
    <w:lvl w:ilvl="0" w:tplc="31BC5260">
      <w:start w:val="4"/>
      <w:numFmt w:val="bullet"/>
      <w:lvlText w:val="-"/>
      <w:lvlJc w:val="left"/>
      <w:pPr>
        <w:tabs>
          <w:tab w:val="num" w:pos="1305"/>
        </w:tabs>
        <w:ind w:left="1305" w:hanging="585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402FA"/>
    <w:multiLevelType w:val="hybridMultilevel"/>
    <w:tmpl w:val="749E6342"/>
    <w:lvl w:ilvl="0" w:tplc="8C24A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C24A8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77F33"/>
    <w:multiLevelType w:val="hybridMultilevel"/>
    <w:tmpl w:val="312E28A8"/>
    <w:lvl w:ilvl="0" w:tplc="8C24A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C24A8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5076"/>
    <w:rsid w:val="00855076"/>
    <w:rsid w:val="00A363A9"/>
    <w:rsid w:val="00A44EE2"/>
    <w:rsid w:val="00CC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Company>DreamLair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strashko</dc:creator>
  <cp:keywords/>
  <dc:description/>
  <cp:lastModifiedBy>strashko</cp:lastModifiedBy>
  <cp:revision>2</cp:revision>
  <dcterms:created xsi:type="dcterms:W3CDTF">2014-10-20T15:54:00Z</dcterms:created>
  <dcterms:modified xsi:type="dcterms:W3CDTF">2014-10-20T15:56:00Z</dcterms:modified>
</cp:coreProperties>
</file>