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79" w:rsidRPr="00903B79" w:rsidRDefault="00903B79" w:rsidP="00903B79">
      <w:pPr>
        <w:rPr>
          <w:rFonts w:ascii="Times New Roman" w:hAnsi="Times New Roman" w:cs="Times New Roman"/>
          <w:i/>
          <w:lang w:val="uk"/>
        </w:rPr>
      </w:pPr>
      <w:r w:rsidRPr="00903B79">
        <w:rPr>
          <w:rFonts w:ascii="Times New Roman" w:hAnsi="Times New Roman" w:cs="Times New Roman"/>
          <w:i/>
          <w:lang w:val="uk"/>
        </w:rPr>
        <w:t>В.В. Македон, к.е.н., докторант</w:t>
      </w:r>
    </w:p>
    <w:p w:rsidR="00903B79" w:rsidRPr="00903B79" w:rsidRDefault="00903B79" w:rsidP="00903B79">
      <w:pPr>
        <w:rPr>
          <w:rFonts w:ascii="Times New Roman" w:hAnsi="Times New Roman" w:cs="Times New Roman"/>
          <w:i/>
          <w:lang w:val="uk"/>
        </w:rPr>
      </w:pPr>
      <w:r w:rsidRPr="00903B79">
        <w:rPr>
          <w:rFonts w:ascii="Times New Roman" w:hAnsi="Times New Roman" w:cs="Times New Roman"/>
          <w:i/>
          <w:lang w:val="uk"/>
        </w:rPr>
        <w:t>Київський національний університет імені Тараса Шевченка</w:t>
      </w:r>
    </w:p>
    <w:p w:rsidR="00903B79" w:rsidRPr="00903B79" w:rsidRDefault="00903B79" w:rsidP="00903B79">
      <w:pPr>
        <w:rPr>
          <w:rFonts w:ascii="Times New Roman" w:hAnsi="Times New Roman" w:cs="Times New Roman"/>
          <w:i/>
          <w:lang w:val="uk"/>
        </w:rPr>
      </w:pPr>
    </w:p>
    <w:p w:rsidR="00903B79" w:rsidRPr="00903B79" w:rsidRDefault="00903B79" w:rsidP="00903B79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903B79">
        <w:rPr>
          <w:rFonts w:ascii="Times New Roman" w:hAnsi="Times New Roman" w:cs="Times New Roman"/>
          <w:lang w:val="uk"/>
        </w:rPr>
        <w:t>СТРАТЕГІЧНІ ЗАСАДИ ЗАБЕЗПЕЧЕННЯ ЕФЕКТИВНОСТІ ПРОЦЕСІВ ЗЛИТТІВ І ПОГЛИНАНЬ КОМПАНІЙ</w:t>
      </w:r>
    </w:p>
    <w:bookmarkEnd w:id="0"/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Засадничі принципи розвитку корпоративного сектора в 80-і рр. XX ст. – економія, компактність, гнучкість і маневреність, а з другої половини 90-х років минулого століття змінилися орієнтованістю на експансію і зростання. Компанії безперервно знаходять додаткові джерела підвищення ефективності функціонування і розширення масштабів своєї діяльності, у зв’язку з чим затвердилися варіанти зростання, що принципово розрізняються по концепції їх поведінки: власне розвитку і за рахунок цього – нарощування власних майнових комплексів і</w:t>
      </w:r>
      <w:r>
        <w:rPr>
          <w:rFonts w:ascii="Times New Roman" w:hAnsi="Times New Roman" w:cs="Times New Roman"/>
          <w:lang w:val="uk"/>
        </w:rPr>
        <w:t xml:space="preserve"> </w:t>
      </w:r>
      <w:r w:rsidRPr="00903B79">
        <w:rPr>
          <w:rFonts w:ascii="Times New Roman" w:hAnsi="Times New Roman" w:cs="Times New Roman"/>
          <w:lang w:val="uk"/>
        </w:rPr>
        <w:t>розширення зон впливу; встановлення контролю над зовнішньою структурою, що дозволяє забезпечувати кількісне і якісне зростання. Внутрішній потенціал зростання реалізується через збільшення прибутковості наявних активів, зростання інновацій і операційної ефективності, зовнішній - за рахунок процесів злиття і поглинань. При цьому в першому варіанті, як правило, не відбувається змін форм власності і форми виробництва, а також зміни власників, тоді як в другому – ці зміни часто є неминучими [2].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Внутрішнє зростання, головною характеристикою якого є реінвестування доходів попередніх періодів, найбільш характерний для початкових етапів розвитку компанії. Перевагою внутрішнього розвитку є нижчій рівень ризику, ніж при зовнішньому розвитку. В той же час розвиток компанії прискорюється за допомогою зовнішнього зростання, ніж при використанні внутрішніх механізмів, коли зростання компанії відбувається поступово.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Зовнішні механізми зростання – встановлення контролю над зовнішньою структурою за рахунок процесів злиттів і поглинань (М&amp;А). Під контролем над іншими компаніями мається на увазі можливість визначати стратегію розвитку компаній і розпоряджатися фінансовими і товарними потоками.  Зацікавленість учасників ринку в можливості контролювати інші компанії породжує наявність ринку контролю над компаніями (ринок корпоративного контролю). Економічна функція будь-якого ринку полягає в найбільш ефективному розподілі наявних обмежених ресурсів. Ринок корпоративного контролю служить найбільш ефективному розподілу активів у вигляді діючого бізнесу до найбільш ефективних власників. Товаром на цьому ринку виступають права контролю над тими або іншими компаніями. Вираженням цих прав контролю над компанією є права власності на акції/частки компанії. У межах операцій злиттів і поглинань права контролю над компанією-метою, обертаються або на фондовому ринку, або ринку угод, залежно від публічності тієї або іншої компанії. На міжнародному ринку злиттів і поглинань більшість інтеграційних процесів відбуваються за допомогою саме ринку публічних корпоративних угод [1]. Злиття і поглинання дозволяють компаніям вирішувати багато стратегічних завдань, будь то отримання ефектів масштабу, розширення географії діяльності, посилення ринкових позицій або фінансової потужності, перехід в нові, перспективніші галузі, доступ до передових технологій. При правильному підході злиття і поглинання виявляються невід’ємним компонентом стратегії зростання: як показують результати досліджень консалтингової компанії «McKinsey», довгострокове зростання багатьох великих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 xml:space="preserve"> 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корпорацій більш ніж на третину відбувається саме за рахунок процесів злиттів і поглинань [3].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 xml:space="preserve">Зарубіжна економічна література трактує злиття як об’єднання компаній, з приблизно однаковими економічними параметрами. Іншими словами, передбачається, що в угоді обидві сторони </w:t>
      </w:r>
      <w:r w:rsidRPr="00903B79">
        <w:rPr>
          <w:rFonts w:ascii="Times New Roman" w:hAnsi="Times New Roman" w:cs="Times New Roman"/>
          <w:lang w:val="uk"/>
        </w:rPr>
        <w:lastRenderedPageBreak/>
        <w:t>виступають на абсолютно рівних началах і відбувається не придбання, а дійсне злиття двох рівних бізнесів.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Деякі автори під терміном «злиття» мають на увазі увесь спектр угод по злиттям і поглинанням: дружнє поглинання, недружнє або вороже поглинання, купівля усіх або основних активів компаніх-мети (без об’єднання, тобто від компанії-мети в цьому випадку залишається лише «оболонка» і грошові кошти від продажу активів). В той же час існує і протилежна точка зору, коли усі інтеграційні процеси об’єднуються під терміном «поглинання». В якості синонімів «поглинання» в економічній літературі часто використовуються більш широкі категорії: в економічному контексті – «придбання».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Аналіз праць вчених і практикуючих фахівців з проблем формоутворення корпоративного сектора показує відсутність чіткої відмінності між поняттями «merger» і «acquisition». У усіх розглянутих роботах ці терміни використовуються разом. У середовищі інвестиційних банкірів, що спеціалізуються на фінансовому консультуванні учасників М&amp;А угод, також не прийнято класифікувати угоди на злиття і поглинання. Будь-яку угоду прийнято називати угодою М&amp;А незалежно від її сутності.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Таким   чином,   виявлена  розбіжність   у  визначеннях  понять</w:t>
      </w:r>
      <w:r>
        <w:rPr>
          <w:rFonts w:ascii="Times New Roman" w:hAnsi="Times New Roman" w:cs="Times New Roman"/>
          <w:lang w:val="uk"/>
        </w:rPr>
        <w:t xml:space="preserve"> </w:t>
      </w:r>
      <w:r w:rsidRPr="00903B79">
        <w:rPr>
          <w:rFonts w:ascii="Times New Roman" w:hAnsi="Times New Roman" w:cs="Times New Roman"/>
          <w:lang w:val="uk"/>
        </w:rPr>
        <w:t>«злиття» і «поглинання» обумовлене цілим рядом факторів. По- перше, немало відмінностей витікає як з національної ділової практики, так і з відмінностей між «академічною» і «правовою» трактуваннями, часто обумовленими особливостями національного законодавства. По-друге, об’єктивність таких розбіжностей пов’язана із запозиченням англо-американських термінів, що не мають однозначного тлумачення. Термін «mergeo» може означати як процес поглинання шляхом придбання акцій або основного капіталу, так і процес злиття, при якому з двох економічних одиниць створюється одна нова або відбувається приєднання однієї економічної одиниці до іншої  з припиненням її  діяльності. Термін</w:t>
      </w:r>
      <w:r>
        <w:rPr>
          <w:rFonts w:ascii="Times New Roman" w:hAnsi="Times New Roman" w:cs="Times New Roman"/>
          <w:lang w:val="uk"/>
        </w:rPr>
        <w:t xml:space="preserve"> </w:t>
      </w:r>
      <w:r w:rsidRPr="00903B79">
        <w:rPr>
          <w:rFonts w:ascii="Times New Roman" w:hAnsi="Times New Roman" w:cs="Times New Roman"/>
          <w:lang w:val="uk"/>
        </w:rPr>
        <w:t>«acquisition» інтерпретується і як придбання (акцій), і як поглинання (корпорації), і як отримання контролю (controlling interest) в іншій компанії, у тому числі шляхом купівлі її акцій.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Автор вважає за доцільне виходити із загальноприйнятих визначень такого роду інтеграційних процесів, використовуваних в економічній теорії і світовій практиці. Під злиттям ми маємо на увазі об’єднання господарюючих суб’єктів, в результаті якого утворюється єдина структура на основі двох або декількох</w:t>
      </w:r>
      <w:r w:rsidRPr="00903B79">
        <w:rPr>
          <w:rFonts w:ascii="Times New Roman" w:hAnsi="Times New Roman" w:cs="Times New Roman"/>
          <w:lang w:val="uk"/>
        </w:rPr>
        <w:t xml:space="preserve"> </w:t>
      </w:r>
      <w:r w:rsidRPr="00903B79">
        <w:rPr>
          <w:rFonts w:ascii="Times New Roman" w:hAnsi="Times New Roman" w:cs="Times New Roman"/>
          <w:lang w:val="uk"/>
        </w:rPr>
        <w:t>колишніх структур, що повністю втрачають своє самостійне існування.</w:t>
      </w: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</w:p>
    <w:p w:rsidR="00903B79" w:rsidRPr="00903B79" w:rsidRDefault="00903B79" w:rsidP="00903B79">
      <w:pPr>
        <w:jc w:val="center"/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lastRenderedPageBreak/>
        <w:t>Список використаних джерел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1.</w:t>
      </w:r>
      <w:r w:rsidRPr="00903B79">
        <w:rPr>
          <w:rFonts w:ascii="Times New Roman" w:hAnsi="Times New Roman" w:cs="Times New Roman"/>
          <w:lang w:val="uk"/>
        </w:rPr>
        <w:tab/>
        <w:t>Эванс Фрэнк Ч. Оценка компаний при слияниях и поглощениях. Создание стоимости в частных компаниях / Фрэнк Ч. Эванс, Дэвид М. Бишоп. – М.: Альпина Паблишерз, 2009. – 336 с.</w:t>
      </w:r>
    </w:p>
    <w:p w:rsidR="00903B79" w:rsidRPr="00903B79" w:rsidRDefault="00903B79" w:rsidP="00903B79">
      <w:pPr>
        <w:rPr>
          <w:rFonts w:ascii="Times New Roman" w:hAnsi="Times New Roman" w:cs="Times New Roman"/>
          <w:lang w:val="uk"/>
        </w:rPr>
      </w:pPr>
      <w:r w:rsidRPr="00903B79">
        <w:rPr>
          <w:rFonts w:ascii="Times New Roman" w:hAnsi="Times New Roman" w:cs="Times New Roman"/>
          <w:lang w:val="uk"/>
        </w:rPr>
        <w:t>2.</w:t>
      </w:r>
      <w:r w:rsidRPr="00903B79">
        <w:rPr>
          <w:rFonts w:ascii="Times New Roman" w:hAnsi="Times New Roman" w:cs="Times New Roman"/>
          <w:lang w:val="uk"/>
        </w:rPr>
        <w:tab/>
        <w:t>DePamphilis D. Mergers, Acquisitions, and Other Restructuring Activities: An Integrated Approach to Process, Tools, Cases, and Solutions / D. DePamphilis. – N.Y.: Academic Press, 2009. – 800 p.</w:t>
      </w:r>
    </w:p>
    <w:p w:rsidR="00937954" w:rsidRPr="00903B79" w:rsidRDefault="00903B79" w:rsidP="00903B79">
      <w:pPr>
        <w:rPr>
          <w:lang w:val="en-US"/>
        </w:rPr>
      </w:pPr>
      <w:r w:rsidRPr="00903B79">
        <w:rPr>
          <w:rFonts w:ascii="Times New Roman" w:hAnsi="Times New Roman" w:cs="Times New Roman"/>
          <w:lang w:val="uk"/>
        </w:rPr>
        <w:t>3.</w:t>
      </w:r>
      <w:r w:rsidRPr="00903B79">
        <w:rPr>
          <w:rFonts w:ascii="Times New Roman" w:hAnsi="Times New Roman" w:cs="Times New Roman"/>
          <w:lang w:val="uk"/>
        </w:rPr>
        <w:tab/>
        <w:t>Green Milford B. Mergers and Aquisitions: Geographical and Spatial Persspectives / Milford B. Green. – Taylor &amp; Francis Group, 2011. – 234 p.</w:t>
      </w:r>
    </w:p>
    <w:sectPr w:rsidR="00937954" w:rsidRPr="00903B79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39" w:rsidRDefault="00547539">
      <w:pPr>
        <w:spacing w:after="0" w:line="240" w:lineRule="auto"/>
      </w:pPr>
      <w:r>
        <w:separator/>
      </w:r>
    </w:p>
  </w:endnote>
  <w:endnote w:type="continuationSeparator" w:id="0">
    <w:p w:rsidR="00547539" w:rsidRDefault="0054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39" w:rsidRDefault="00547539">
      <w:pPr>
        <w:spacing w:after="0" w:line="240" w:lineRule="auto"/>
      </w:pPr>
      <w:r>
        <w:separator/>
      </w:r>
    </w:p>
  </w:footnote>
  <w:footnote w:type="continuationSeparator" w:id="0">
    <w:p w:rsidR="00547539" w:rsidRDefault="0054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063F00"/>
    <w:rsid w:val="000B41F2"/>
    <w:rsid w:val="00127318"/>
    <w:rsid w:val="00156E42"/>
    <w:rsid w:val="00215C4C"/>
    <w:rsid w:val="00362FE2"/>
    <w:rsid w:val="003A10F0"/>
    <w:rsid w:val="003E4744"/>
    <w:rsid w:val="0047131A"/>
    <w:rsid w:val="004F4000"/>
    <w:rsid w:val="00547539"/>
    <w:rsid w:val="00547AE1"/>
    <w:rsid w:val="005A1F20"/>
    <w:rsid w:val="005D799F"/>
    <w:rsid w:val="005F6EB2"/>
    <w:rsid w:val="007E44B4"/>
    <w:rsid w:val="0083378A"/>
    <w:rsid w:val="00834156"/>
    <w:rsid w:val="008A1568"/>
    <w:rsid w:val="00903B79"/>
    <w:rsid w:val="00937954"/>
    <w:rsid w:val="0094167B"/>
    <w:rsid w:val="00957786"/>
    <w:rsid w:val="00995FC6"/>
    <w:rsid w:val="00A12C0D"/>
    <w:rsid w:val="00A34971"/>
    <w:rsid w:val="00A53C75"/>
    <w:rsid w:val="00AA3C14"/>
    <w:rsid w:val="00BB09A9"/>
    <w:rsid w:val="00BB79A9"/>
    <w:rsid w:val="00BE3D5C"/>
    <w:rsid w:val="00CF1754"/>
    <w:rsid w:val="00CF2069"/>
    <w:rsid w:val="00DB0369"/>
    <w:rsid w:val="00DB4F85"/>
    <w:rsid w:val="00E420E8"/>
    <w:rsid w:val="00E55A08"/>
    <w:rsid w:val="00EA206C"/>
    <w:rsid w:val="00F43DD8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978</Words>
  <Characters>5578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2018-05-15T07:37:00Z</dcterms:created>
  <dcterms:modified xsi:type="dcterms:W3CDTF">2018-05-20T14:10:00Z</dcterms:modified>
</cp:coreProperties>
</file>