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F4" w:rsidRPr="005608F4" w:rsidRDefault="005608F4" w:rsidP="005608F4">
      <w:pPr>
        <w:rPr>
          <w:rFonts w:ascii="Times New Roman" w:hAnsi="Times New Roman" w:cs="Times New Roman"/>
          <w:i/>
          <w:lang w:val="uk"/>
        </w:rPr>
      </w:pPr>
      <w:r w:rsidRPr="005608F4">
        <w:rPr>
          <w:rFonts w:ascii="Times New Roman" w:hAnsi="Times New Roman" w:cs="Times New Roman"/>
          <w:i/>
          <w:lang w:val="uk"/>
        </w:rPr>
        <w:t>О.Г. Мельник, д.е.н., професор</w:t>
      </w:r>
    </w:p>
    <w:p w:rsidR="005608F4" w:rsidRPr="005608F4" w:rsidRDefault="005608F4" w:rsidP="005608F4">
      <w:pPr>
        <w:rPr>
          <w:rFonts w:ascii="Times New Roman" w:hAnsi="Times New Roman" w:cs="Times New Roman"/>
          <w:i/>
          <w:lang w:val="uk"/>
        </w:rPr>
      </w:pPr>
      <w:r w:rsidRPr="005608F4">
        <w:rPr>
          <w:rFonts w:ascii="Times New Roman" w:hAnsi="Times New Roman" w:cs="Times New Roman"/>
          <w:i/>
          <w:lang w:val="uk"/>
        </w:rPr>
        <w:t>М.Є. Адамів, к.е.н.</w:t>
      </w:r>
    </w:p>
    <w:p w:rsidR="005608F4" w:rsidRPr="005608F4" w:rsidRDefault="005608F4" w:rsidP="005608F4">
      <w:pPr>
        <w:rPr>
          <w:rFonts w:ascii="Times New Roman" w:hAnsi="Times New Roman" w:cs="Times New Roman"/>
          <w:i/>
          <w:lang w:val="uk"/>
        </w:rPr>
      </w:pPr>
      <w:r w:rsidRPr="005608F4">
        <w:rPr>
          <w:rFonts w:ascii="Times New Roman" w:hAnsi="Times New Roman" w:cs="Times New Roman"/>
          <w:i/>
          <w:lang w:val="uk"/>
        </w:rPr>
        <w:t>Національний університет «Львівська політехніка»</w:t>
      </w:r>
    </w:p>
    <w:p w:rsidR="005608F4" w:rsidRPr="005608F4" w:rsidRDefault="005608F4" w:rsidP="005608F4">
      <w:pPr>
        <w:rPr>
          <w:rFonts w:ascii="Times New Roman" w:hAnsi="Times New Roman" w:cs="Times New Roman"/>
          <w:i/>
          <w:lang w:val="uk"/>
        </w:rPr>
      </w:pPr>
    </w:p>
    <w:p w:rsidR="005608F4" w:rsidRPr="005608F4" w:rsidRDefault="005608F4" w:rsidP="005608F4">
      <w:pPr>
        <w:jc w:val="center"/>
        <w:rPr>
          <w:rFonts w:ascii="Times New Roman" w:hAnsi="Times New Roman" w:cs="Times New Roman"/>
          <w:lang w:val="uk"/>
        </w:rPr>
      </w:pPr>
      <w:bookmarkStart w:id="0" w:name="_GoBack"/>
      <w:r w:rsidRPr="005608F4">
        <w:rPr>
          <w:rFonts w:ascii="Times New Roman" w:hAnsi="Times New Roman" w:cs="Times New Roman"/>
          <w:lang w:val="uk"/>
        </w:rPr>
        <w:t>МІЖНАРОДНІ АКЦЕНТИ ДІАГНОСТИКИ ІНВЕСТИЦІЙНО</w:t>
      </w:r>
      <w:r>
        <w:rPr>
          <w:rFonts w:ascii="Times New Roman" w:hAnsi="Times New Roman" w:cs="Times New Roman"/>
          <w:lang w:val="uk"/>
        </w:rPr>
        <w:t>Ї ПРИВАБЛИВОСТІ БІЗНЕС-СТРУКТУР</w:t>
      </w:r>
    </w:p>
    <w:bookmarkEnd w:id="0"/>
    <w:p w:rsidR="005608F4" w:rsidRPr="005608F4" w:rsidRDefault="005608F4" w:rsidP="005608F4">
      <w:pPr>
        <w:rPr>
          <w:rFonts w:ascii="Times New Roman" w:hAnsi="Times New Roman" w:cs="Times New Roman"/>
          <w:lang w:val="uk"/>
        </w:rPr>
      </w:pPr>
    </w:p>
    <w:p w:rsidR="005608F4" w:rsidRPr="005608F4" w:rsidRDefault="005608F4" w:rsidP="005608F4">
      <w:pPr>
        <w:rPr>
          <w:rFonts w:ascii="Times New Roman" w:hAnsi="Times New Roman" w:cs="Times New Roman"/>
          <w:lang w:val="uk"/>
        </w:rPr>
      </w:pPr>
      <w:r w:rsidRPr="005608F4">
        <w:rPr>
          <w:rFonts w:ascii="Times New Roman" w:hAnsi="Times New Roman" w:cs="Times New Roman"/>
          <w:lang w:val="uk"/>
        </w:rPr>
        <w:t>Європейська інтеграція України, що на сучасному етапі активно пропагується в усіх сферах суспільства, повинна прокладатись не лише виключно власними зусиллями на підставі національних переконань, але й з урахуванням та перейманням визнаного міжнародного досвіду. В умовах євроінтеграційних перетворень однією із ключових перспективних можливостей для розвитку вітчизняної економіки є залучення іноземних інвестицій як потужного рушія прогресивних зрушень та трансформацій. Вже не новиною є той факт, що європейський ринок представлений потужними бізнес-структурами різних розмірів, котрі прагнуть надалі активно розвивати свою діяльність, в тому числі й за допомогою пошуку та вкладання ресурсів у привабливі об’єкти інвестування. При цьому настрої іноземних інвесторів не є стабільними, а динамічно змінюються відповідно до актуальних пріоритетів та тенденцій розвитку міжнародної економіки. З огляду на усе вищевикладене важливим завданням сьогодення є дослідження ключових міжнародних та зокрема європейських акцентів діагностування інвестиційної привабливості бізнес- структур з метою гармонізації ві</w:t>
      </w:r>
      <w:r>
        <w:rPr>
          <w:rFonts w:ascii="Times New Roman" w:hAnsi="Times New Roman" w:cs="Times New Roman"/>
          <w:lang w:val="uk"/>
        </w:rPr>
        <w:t>тчизняних діагностичних методик</w:t>
      </w:r>
    </w:p>
    <w:p w:rsidR="005608F4" w:rsidRPr="005608F4" w:rsidRDefault="005608F4" w:rsidP="005608F4">
      <w:pPr>
        <w:rPr>
          <w:rFonts w:ascii="Times New Roman" w:hAnsi="Times New Roman" w:cs="Times New Roman"/>
          <w:lang w:val="uk"/>
        </w:rPr>
      </w:pPr>
      <w:r w:rsidRPr="005608F4">
        <w:rPr>
          <w:rFonts w:ascii="Times New Roman" w:hAnsi="Times New Roman" w:cs="Times New Roman"/>
          <w:lang w:val="uk"/>
        </w:rPr>
        <w:t>1 Публікація містить результати досліджень, проведених за грантом Президента України за конкурсним проектом Ф 66 Державного фонду фундаментальних досліджень</w:t>
      </w:r>
      <w:r>
        <w:rPr>
          <w:rFonts w:ascii="Times New Roman" w:hAnsi="Times New Roman" w:cs="Times New Roman"/>
          <w:lang w:val="uk"/>
        </w:rPr>
        <w:t xml:space="preserve"> у </w:t>
      </w:r>
      <w:r w:rsidRPr="005608F4">
        <w:rPr>
          <w:rFonts w:ascii="Times New Roman" w:hAnsi="Times New Roman" w:cs="Times New Roman"/>
          <w:lang w:val="uk"/>
        </w:rPr>
        <w:t>цій</w:t>
      </w:r>
      <w:r>
        <w:rPr>
          <w:rFonts w:ascii="Times New Roman" w:hAnsi="Times New Roman" w:cs="Times New Roman"/>
          <w:lang w:val="uk"/>
        </w:rPr>
        <w:t xml:space="preserve"> </w:t>
      </w:r>
      <w:r w:rsidRPr="005608F4">
        <w:rPr>
          <w:rFonts w:ascii="Times New Roman" w:hAnsi="Times New Roman" w:cs="Times New Roman"/>
          <w:lang w:val="uk"/>
        </w:rPr>
        <w:t>сфері</w:t>
      </w:r>
      <w:r>
        <w:rPr>
          <w:rFonts w:ascii="Times New Roman" w:hAnsi="Times New Roman" w:cs="Times New Roman"/>
          <w:lang w:val="uk"/>
        </w:rPr>
        <w:t xml:space="preserve"> </w:t>
      </w:r>
      <w:r w:rsidRPr="005608F4">
        <w:rPr>
          <w:rFonts w:ascii="Times New Roman" w:hAnsi="Times New Roman" w:cs="Times New Roman"/>
          <w:lang w:val="uk"/>
        </w:rPr>
        <w:t>та</w:t>
      </w:r>
      <w:r>
        <w:rPr>
          <w:rFonts w:ascii="Times New Roman" w:hAnsi="Times New Roman" w:cs="Times New Roman"/>
          <w:lang w:val="uk"/>
        </w:rPr>
        <w:t xml:space="preserve"> </w:t>
      </w:r>
      <w:r w:rsidRPr="005608F4">
        <w:rPr>
          <w:rFonts w:ascii="Times New Roman" w:hAnsi="Times New Roman" w:cs="Times New Roman"/>
          <w:lang w:val="uk"/>
        </w:rPr>
        <w:t>виявлення</w:t>
      </w:r>
      <w:r>
        <w:rPr>
          <w:rFonts w:ascii="Times New Roman" w:hAnsi="Times New Roman" w:cs="Times New Roman"/>
          <w:lang w:val="uk"/>
        </w:rPr>
        <w:t xml:space="preserve"> </w:t>
      </w:r>
      <w:r w:rsidRPr="005608F4">
        <w:rPr>
          <w:rFonts w:ascii="Times New Roman" w:hAnsi="Times New Roman" w:cs="Times New Roman"/>
          <w:lang w:val="uk"/>
        </w:rPr>
        <w:t>пріоритетних</w:t>
      </w:r>
      <w:r>
        <w:rPr>
          <w:rFonts w:ascii="Times New Roman" w:hAnsi="Times New Roman" w:cs="Times New Roman"/>
          <w:lang w:val="uk"/>
        </w:rPr>
        <w:t xml:space="preserve"> </w:t>
      </w:r>
      <w:r w:rsidRPr="005608F4">
        <w:rPr>
          <w:rFonts w:ascii="Times New Roman" w:hAnsi="Times New Roman" w:cs="Times New Roman"/>
          <w:lang w:val="uk"/>
        </w:rPr>
        <w:t>векторів</w:t>
      </w:r>
      <w:r>
        <w:rPr>
          <w:rFonts w:ascii="Times New Roman" w:hAnsi="Times New Roman" w:cs="Times New Roman"/>
          <w:lang w:val="uk"/>
        </w:rPr>
        <w:t xml:space="preserve"> </w:t>
      </w:r>
      <w:r w:rsidRPr="005608F4">
        <w:rPr>
          <w:rFonts w:ascii="Times New Roman" w:hAnsi="Times New Roman" w:cs="Times New Roman"/>
          <w:lang w:val="uk"/>
        </w:rPr>
        <w:t>розвитку національного інвестиційного клімату.</w:t>
      </w:r>
    </w:p>
    <w:p w:rsidR="005608F4" w:rsidRDefault="005608F4" w:rsidP="005608F4">
      <w:pPr>
        <w:rPr>
          <w:rFonts w:ascii="Times New Roman" w:hAnsi="Times New Roman" w:cs="Times New Roman"/>
          <w:lang w:val="uk"/>
        </w:rPr>
      </w:pPr>
      <w:r w:rsidRPr="005608F4">
        <w:rPr>
          <w:rFonts w:ascii="Times New Roman" w:hAnsi="Times New Roman" w:cs="Times New Roman"/>
          <w:lang w:val="uk"/>
        </w:rPr>
        <w:t xml:space="preserve">У міжнародному просторі дослідженням та визначенням пріоритетного інформаційного та методичного забезпечення діагностики інвестиційної привабливості підприємницьких структур займаються міжнародні аудиторсько-консалтингові компанії, котрі проводять спеціалізовані опитування інвесторів, керівників, представників органів влади тощо. Так, до найбільш відомих організацій такого профілю належить британська компанія Ernst </w:t>
      </w:r>
      <w:r w:rsidRPr="005608F4">
        <w:rPr>
          <w:rFonts w:ascii="Times New Roman" w:hAnsi="Times New Roman" w:cs="Times New Roman"/>
          <w:lang w:val="uk"/>
        </w:rPr>
        <w:t xml:space="preserve"> Young (EY), яка спеціалізується не лише на визначенні інвестиційної привабливості країн та регіонів світу, але й дослідженні перспективних тенденцій у сфері іноземного інвестування. Згідно із результатами спеціалізованого дослідження компанії EY «Перспективні правила інвестора» у 2015 р. </w:t>
      </w:r>
      <w:r w:rsidRPr="005608F4">
        <w:rPr>
          <w:rFonts w:ascii="Times New Roman" w:hAnsi="Times New Roman" w:cs="Times New Roman"/>
          <w:lang w:val="uk"/>
        </w:rPr>
        <w:t>1</w:t>
      </w:r>
      <w:r w:rsidRPr="005608F4">
        <w:rPr>
          <w:rFonts w:ascii="Times New Roman" w:hAnsi="Times New Roman" w:cs="Times New Roman"/>
          <w:lang w:val="uk"/>
        </w:rPr>
        <w:t xml:space="preserve">, що ґрунтувалось на опитуванні більш, ніж 200 інституційних інвесторів з усього світу, актуальною тенденцією у сфері діагностики інвестиційної привабливості бізнес-організацій європейськими інвесторами є розширення діагностичних напрямів до нефінансової сфери функціонування об’єкта інвестування, що пріоритетно охоплює екологічну, соціальну та державну складові. Зокрема, за даними 2015 р. 61,5 % респондентів (на противагу 2014 р. – 33,7 %) враховували нефінансові дані суб’єктів господарювання різних галузей економіки при діагностуванні їхньої інвестиційної привабливості. Підсумовуючи результати зазначеного дослідження компанії EY, можна зробити такі висновки стосовно сучасного європейського досвіду та перспективних тенденцій розвитку діагностики інвестиційної привабливості підприємств </w:t>
      </w:r>
      <w:r w:rsidRPr="005608F4">
        <w:rPr>
          <w:rFonts w:ascii="Times New Roman" w:hAnsi="Times New Roman" w:cs="Times New Roman"/>
          <w:lang w:val="uk"/>
        </w:rPr>
        <w:t>1</w:t>
      </w:r>
      <w:r w:rsidRPr="005608F4">
        <w:rPr>
          <w:rFonts w:ascii="Times New Roman" w:hAnsi="Times New Roman" w:cs="Times New Roman"/>
          <w:lang w:val="uk"/>
        </w:rPr>
        <w:t>: європейські інвестори надають перевагу нефінансовій інформації, яка надходить безпосередньо від фахівців об’єкта інвестування, а не від третіх осіб; нефінасові дані повинні стосуватись ключових факторів ефективності підприємства, які можна виміряти, а саме управління, витрат та ризиків діяльності; база нефінансових даних повинна відображати ключові показники ефективності та відповідні їм стандартизовані галузеві критерії для порівняння бізнес-структур однієї галузі; нефінансова інформаційна база повинна чітко репрезентувати взаємозв’язок з нефінансовими ризиками та очікуваною ефективністю діяльності підприємства; нефінансові дані мають бути затверджені вищим керівництвом суб’єкта господарювання.</w:t>
      </w:r>
      <w:r>
        <w:rPr>
          <w:rFonts w:ascii="Times New Roman" w:hAnsi="Times New Roman" w:cs="Times New Roman"/>
          <w:lang w:val="uk"/>
        </w:rPr>
        <w:t xml:space="preserve"> </w:t>
      </w:r>
    </w:p>
    <w:p w:rsidR="005608F4" w:rsidRPr="005608F4" w:rsidRDefault="005608F4" w:rsidP="005608F4">
      <w:pPr>
        <w:rPr>
          <w:rFonts w:ascii="Times New Roman" w:hAnsi="Times New Roman" w:cs="Times New Roman"/>
          <w:lang w:val="uk"/>
        </w:rPr>
      </w:pPr>
      <w:r w:rsidRPr="005608F4">
        <w:rPr>
          <w:rFonts w:ascii="Times New Roman" w:hAnsi="Times New Roman" w:cs="Times New Roman"/>
          <w:lang w:val="uk"/>
        </w:rPr>
        <w:lastRenderedPageBreak/>
        <w:t>ресурсів, ризики діяльності та можливості розвитку, державну політику, кадрові ресурси, екологічна, соціальна інформація.</w:t>
      </w:r>
    </w:p>
    <w:p w:rsidR="005608F4" w:rsidRPr="005608F4" w:rsidRDefault="005608F4" w:rsidP="005608F4">
      <w:pPr>
        <w:rPr>
          <w:rFonts w:ascii="Times New Roman" w:hAnsi="Times New Roman" w:cs="Times New Roman"/>
          <w:lang w:val="uk"/>
        </w:rPr>
      </w:pPr>
      <w:r w:rsidRPr="005608F4">
        <w:rPr>
          <w:rFonts w:ascii="Times New Roman" w:hAnsi="Times New Roman" w:cs="Times New Roman"/>
          <w:lang w:val="uk"/>
        </w:rPr>
        <w:t xml:space="preserve">Відповідно до результатів дослідження </w:t>
      </w:r>
      <w:r w:rsidRPr="005608F4">
        <w:rPr>
          <w:rFonts w:ascii="Times New Roman" w:hAnsi="Times New Roman" w:cs="Times New Roman"/>
          <w:lang w:val="uk"/>
        </w:rPr>
        <w:t>3</w:t>
      </w:r>
      <w:r w:rsidRPr="005608F4">
        <w:rPr>
          <w:rFonts w:ascii="Times New Roman" w:hAnsi="Times New Roman" w:cs="Times New Roman"/>
          <w:lang w:val="uk"/>
        </w:rPr>
        <w:t> міжнародної групи інвесторів Principles for Responsible Investments (PRI) (2013 р.) інвестори при ухваленні інвестиційних рішень використовують розгорнуту інформаційну базу, яка стосується не лише фінансового стану бізнес-структури, але комплексно охоплює дані: економічного аналізу (дає змогу врахувати тенденції та чинники, які можуть вплинути на економічні перспективи та зокрема процеси створення нової вартості та формування капіталу); галузевого аналізу (забезпечує можливість врахування рушійних факторів конкурентоспроможності та потенціалу для стійкого створення вартості в галузі); про стратегію компанії (дає змогу зрозуміти якість менеджменту і корпоративної стратегії, а також оцінити здатність бізнес-структури відповідати на нові виклики та тенденції); діагностики (забезпечує можливість коригувати діагностичні методики, в тому числі щодо руху грошових коштів та середньорічної вартості капіталу, для відображення рівня ефективності у сфері матеріальної стабільності компанії).</w:t>
      </w:r>
    </w:p>
    <w:p w:rsidR="005608F4" w:rsidRPr="005608F4" w:rsidRDefault="005608F4" w:rsidP="005608F4">
      <w:pPr>
        <w:rPr>
          <w:rFonts w:ascii="Times New Roman" w:hAnsi="Times New Roman" w:cs="Times New Roman"/>
          <w:lang w:val="uk"/>
        </w:rPr>
      </w:pPr>
      <w:r w:rsidRPr="005608F4">
        <w:rPr>
          <w:rFonts w:ascii="Times New Roman" w:hAnsi="Times New Roman" w:cs="Times New Roman"/>
          <w:lang w:val="uk"/>
        </w:rPr>
        <w:t>Таким чином, з урахуванням усього вищевикладеного запропоновано гармонізувати вітчизняні діагностичні надбання та сформувати уніфіковану методику діагностики інвестиційної привабливості підприємств, що передбачатиме комплексне оцінювання за її пріоритетними складовими, а саме фінансово- економічною, соціальною, логістичною, технологічно-майновою, адміністративно-правовою, партнерською, іміджево-брендовою, товарною привабливістю. При цьому така методика повинна ґрунтуватись на оцінюванні різноманітних репрезентативних (абсолютних, відносних, комплексних) індикаторів в межах кожної вищевиокремленої привабливості підприємства з метою визначення узагальненого інтегрального рівня інвестиційної привабливості суб’єкта господарювання.</w:t>
      </w: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Default="005608F4" w:rsidP="005608F4">
      <w:pPr>
        <w:spacing w:line="240" w:lineRule="auto"/>
        <w:jc w:val="center"/>
        <w:rPr>
          <w:rFonts w:ascii="Times New Roman" w:hAnsi="Times New Roman" w:cs="Times New Roman"/>
          <w:lang w:val="uk"/>
        </w:rPr>
      </w:pPr>
    </w:p>
    <w:p w:rsidR="005608F4" w:rsidRPr="005608F4" w:rsidRDefault="005608F4" w:rsidP="005608F4">
      <w:pPr>
        <w:spacing w:line="240" w:lineRule="auto"/>
        <w:jc w:val="center"/>
        <w:rPr>
          <w:rFonts w:ascii="Times New Roman" w:hAnsi="Times New Roman" w:cs="Times New Roman"/>
          <w:lang w:val="uk"/>
        </w:rPr>
      </w:pPr>
      <w:r w:rsidRPr="005608F4">
        <w:rPr>
          <w:rFonts w:ascii="Times New Roman" w:hAnsi="Times New Roman" w:cs="Times New Roman"/>
          <w:lang w:val="uk"/>
        </w:rPr>
        <w:lastRenderedPageBreak/>
        <w:t>Список використаних джерел</w:t>
      </w:r>
    </w:p>
    <w:p w:rsidR="005608F4" w:rsidRPr="005608F4" w:rsidRDefault="005608F4" w:rsidP="005608F4">
      <w:pPr>
        <w:widowControl w:val="0"/>
        <w:numPr>
          <w:ilvl w:val="0"/>
          <w:numId w:val="1"/>
        </w:numPr>
        <w:tabs>
          <w:tab w:val="left" w:pos="497"/>
          <w:tab w:val="left" w:pos="1808"/>
          <w:tab w:val="left" w:pos="2995"/>
          <w:tab w:val="left" w:pos="3710"/>
          <w:tab w:val="left" w:pos="4255"/>
          <w:tab w:val="left" w:pos="4933"/>
          <w:tab w:val="left" w:pos="5314"/>
          <w:tab w:val="left" w:pos="6178"/>
        </w:tabs>
        <w:autoSpaceDE w:val="0"/>
        <w:autoSpaceDN w:val="0"/>
        <w:spacing w:after="0" w:line="240" w:lineRule="auto"/>
        <w:jc w:val="both"/>
        <w:rPr>
          <w:rFonts w:ascii="Times New Roman" w:eastAsia="Times New Roman" w:hAnsi="Times New Roman" w:cs="Times New Roman"/>
          <w:lang w:val="uk" w:eastAsia="uk"/>
        </w:rPr>
      </w:pPr>
      <w:r w:rsidRPr="005608F4">
        <w:rPr>
          <w:rFonts w:ascii="Times New Roman" w:eastAsia="Times New Roman" w:hAnsi="Times New Roman" w:cs="Times New Roman"/>
          <w:lang w:val="uk" w:eastAsia="uk"/>
        </w:rPr>
        <w:t>Tomorrow’s</w:t>
      </w:r>
      <w:r w:rsidRPr="005608F4">
        <w:rPr>
          <w:rFonts w:ascii="Times New Roman" w:eastAsia="Times New Roman" w:hAnsi="Times New Roman" w:cs="Times New Roman"/>
          <w:lang w:val="uk" w:eastAsia="uk"/>
        </w:rPr>
        <w:t xml:space="preserve"> </w:t>
      </w:r>
      <w:r w:rsidRPr="005608F4">
        <w:rPr>
          <w:rFonts w:ascii="Times New Roman" w:eastAsia="Times New Roman" w:hAnsi="Times New Roman" w:cs="Times New Roman"/>
          <w:lang w:val="uk" w:eastAsia="uk"/>
        </w:rPr>
        <w:t>Investment</w:t>
      </w:r>
      <w:r w:rsidRPr="005608F4">
        <w:rPr>
          <w:rFonts w:ascii="Times New Roman" w:eastAsia="Times New Roman" w:hAnsi="Times New Roman" w:cs="Times New Roman"/>
          <w:lang w:val="uk" w:eastAsia="uk"/>
        </w:rPr>
        <w:t xml:space="preserve"> </w:t>
      </w:r>
      <w:r w:rsidRPr="005608F4">
        <w:rPr>
          <w:rFonts w:ascii="Times New Roman" w:eastAsia="Times New Roman" w:hAnsi="Times New Roman" w:cs="Times New Roman"/>
          <w:lang w:val="uk" w:eastAsia="uk"/>
        </w:rPr>
        <w:t>Rules</w:t>
      </w:r>
      <w:r w:rsidRPr="005608F4">
        <w:rPr>
          <w:rFonts w:ascii="Times New Roman" w:eastAsia="Times New Roman" w:hAnsi="Times New Roman" w:cs="Times New Roman"/>
          <w:lang w:val="uk" w:eastAsia="uk"/>
        </w:rPr>
        <w:t xml:space="preserve"> </w:t>
      </w:r>
      <w:r w:rsidRPr="005608F4">
        <w:rPr>
          <w:rFonts w:ascii="Times New Roman" w:eastAsia="Times New Roman" w:hAnsi="Times New Roman" w:cs="Times New Roman"/>
          <w:lang w:val="uk" w:eastAsia="uk"/>
        </w:rPr>
        <w:t>2.0.</w:t>
      </w:r>
      <w:r w:rsidRPr="005608F4">
        <w:rPr>
          <w:rFonts w:ascii="Times New Roman" w:eastAsia="Times New Roman" w:hAnsi="Times New Roman" w:cs="Times New Roman"/>
          <w:lang w:val="uk" w:eastAsia="uk"/>
        </w:rPr>
        <w:t xml:space="preserve"> </w:t>
      </w:r>
      <w:r w:rsidRPr="005608F4">
        <w:rPr>
          <w:rFonts w:ascii="Times New Roman" w:eastAsia="Times New Roman" w:hAnsi="Times New Roman" w:cs="Times New Roman"/>
          <w:lang w:val="uk" w:eastAsia="uk"/>
        </w:rPr>
        <w:t>Ernst</w:t>
      </w:r>
      <w:r w:rsidRPr="005608F4">
        <w:rPr>
          <w:rFonts w:ascii="Times New Roman" w:eastAsia="Times New Roman" w:hAnsi="Times New Roman" w:cs="Times New Roman"/>
          <w:lang w:val="uk" w:eastAsia="uk"/>
        </w:rPr>
        <w:t xml:space="preserve"> </w:t>
      </w:r>
      <w:r w:rsidRPr="005608F4">
        <w:rPr>
          <w:rFonts w:ascii="Symbol" w:eastAsia="Times New Roman" w:hAnsi="Symbol" w:cs="Times New Roman"/>
          <w:lang w:val="uk" w:eastAsia="uk"/>
        </w:rPr>
        <w:t></w:t>
      </w:r>
      <w:r w:rsidRPr="005608F4">
        <w:rPr>
          <w:rFonts w:ascii="Symbol" w:eastAsia="Times New Roman" w:hAnsi="Symbol" w:cs="Times New Roman"/>
          <w:lang w:val="uk" w:eastAsia="uk"/>
        </w:rPr>
        <w:t></w:t>
      </w:r>
      <w:r w:rsidRPr="005608F4">
        <w:rPr>
          <w:rFonts w:ascii="Times New Roman" w:eastAsia="Times New Roman" w:hAnsi="Times New Roman" w:cs="Times New Roman"/>
          <w:lang w:val="uk" w:eastAsia="uk"/>
        </w:rPr>
        <w:t>Young</w:t>
      </w:r>
      <w:r w:rsidRPr="005608F4">
        <w:rPr>
          <w:rFonts w:ascii="Times New Roman" w:eastAsia="Times New Roman" w:hAnsi="Times New Roman" w:cs="Times New Roman"/>
          <w:lang w:val="uk" w:eastAsia="uk"/>
        </w:rPr>
        <w:t xml:space="preserve"> </w:t>
      </w:r>
      <w:r w:rsidRPr="005608F4">
        <w:rPr>
          <w:rFonts w:ascii="Times New Roman" w:eastAsia="Times New Roman" w:hAnsi="Times New Roman" w:cs="Times New Roman"/>
          <w:lang w:val="uk" w:eastAsia="uk"/>
        </w:rPr>
        <w:t>2015</w:t>
      </w:r>
    </w:p>
    <w:p w:rsidR="00937954" w:rsidRDefault="005608F4" w:rsidP="005608F4">
      <w:pPr>
        <w:widowControl w:val="0"/>
        <w:tabs>
          <w:tab w:val="left" w:pos="2491"/>
          <w:tab w:val="left" w:pos="4212"/>
          <w:tab w:val="left" w:pos="5808"/>
        </w:tabs>
        <w:autoSpaceDE w:val="0"/>
        <w:autoSpaceDN w:val="0"/>
        <w:spacing w:before="9" w:after="0" w:line="240" w:lineRule="auto"/>
        <w:ind w:left="213" w:right="309"/>
        <w:rPr>
          <w:rFonts w:ascii="Times New Roman" w:eastAsia="Times New Roman" w:hAnsi="Times New Roman" w:cs="Times New Roman"/>
          <w:lang w:val="uk" w:eastAsia="uk"/>
        </w:rPr>
      </w:pPr>
      <w:r w:rsidRPr="005608F4">
        <w:rPr>
          <w:rFonts w:ascii="Symbol" w:eastAsia="Times New Roman" w:hAnsi="Symbol" w:cs="Times New Roman"/>
          <w:lang w:val="uk" w:eastAsia="uk"/>
        </w:rPr>
        <w:t></w:t>
      </w:r>
      <w:r w:rsidRPr="005608F4">
        <w:rPr>
          <w:rFonts w:ascii="Times New Roman" w:eastAsia="Times New Roman" w:hAnsi="Times New Roman" w:cs="Times New Roman"/>
          <w:lang w:val="uk" w:eastAsia="uk"/>
        </w:rPr>
        <w:t>Електронний</w:t>
      </w:r>
      <w:r w:rsidRPr="005608F4">
        <w:rPr>
          <w:rFonts w:ascii="Times New Roman" w:eastAsia="Times New Roman" w:hAnsi="Times New Roman" w:cs="Times New Roman"/>
          <w:lang w:val="uk" w:eastAsia="uk"/>
        </w:rPr>
        <w:t xml:space="preserve"> </w:t>
      </w:r>
      <w:r w:rsidRPr="005608F4">
        <w:rPr>
          <w:rFonts w:ascii="Times New Roman" w:eastAsia="Times New Roman" w:hAnsi="Times New Roman" w:cs="Times New Roman"/>
          <w:lang w:val="uk" w:eastAsia="uk"/>
        </w:rPr>
        <w:t>ресурс</w:t>
      </w:r>
      <w:r w:rsidRPr="005608F4">
        <w:rPr>
          <w:rFonts w:ascii="Symbol" w:eastAsia="Times New Roman" w:hAnsi="Symbol" w:cs="Times New Roman"/>
          <w:lang w:val="uk" w:eastAsia="uk"/>
        </w:rPr>
        <w:t></w:t>
      </w:r>
      <w:r w:rsidRPr="005608F4">
        <w:rPr>
          <w:rFonts w:ascii="Times New Roman" w:eastAsia="Times New Roman" w:hAnsi="Times New Roman" w:cs="Times New Roman"/>
          <w:lang w:val="uk" w:eastAsia="uk"/>
        </w:rPr>
        <w:t>.</w:t>
      </w:r>
      <w:r w:rsidRPr="005608F4">
        <w:rPr>
          <w:rFonts w:ascii="Times New Roman" w:eastAsia="Times New Roman" w:hAnsi="Times New Roman" w:cs="Times New Roman"/>
          <w:lang w:val="uk" w:eastAsia="uk"/>
        </w:rPr>
        <w:t xml:space="preserve"> </w:t>
      </w:r>
      <w:r w:rsidRPr="005608F4">
        <w:rPr>
          <w:rFonts w:ascii="Times New Roman" w:eastAsia="Times New Roman" w:hAnsi="Times New Roman" w:cs="Times New Roman"/>
          <w:lang w:val="uk" w:eastAsia="uk"/>
        </w:rPr>
        <w:t>Режим</w:t>
      </w:r>
      <w:r w:rsidRPr="005608F4">
        <w:rPr>
          <w:rFonts w:ascii="Times New Roman" w:eastAsia="Times New Roman" w:hAnsi="Times New Roman" w:cs="Times New Roman"/>
          <w:lang w:val="uk" w:eastAsia="uk"/>
        </w:rPr>
        <w:t xml:space="preserve"> </w:t>
      </w:r>
      <w:r w:rsidRPr="005608F4">
        <w:rPr>
          <w:rFonts w:ascii="Times New Roman" w:eastAsia="Times New Roman" w:hAnsi="Times New Roman" w:cs="Times New Roman"/>
          <w:lang w:val="uk" w:eastAsia="uk"/>
        </w:rPr>
        <w:t xml:space="preserve">доступу: </w:t>
      </w:r>
      <w:hyperlink r:id="rId7">
        <w:r w:rsidRPr="005608F4">
          <w:rPr>
            <w:rFonts w:ascii="Times New Roman" w:eastAsia="Times New Roman" w:hAnsi="Times New Roman" w:cs="Times New Roman"/>
            <w:color w:val="0000FF"/>
            <w:u w:val="single" w:color="0000FF"/>
            <w:lang w:val="uk" w:eastAsia="uk"/>
          </w:rPr>
          <w:t>http://www.ey.com/Publication/vwLUAssets/EY-tomorrows-</w:t>
        </w:r>
      </w:hyperlink>
      <w:r w:rsidRPr="005608F4">
        <w:rPr>
          <w:rFonts w:ascii="Times New Roman" w:eastAsia="Times New Roman" w:hAnsi="Times New Roman" w:cs="Times New Roman"/>
          <w:color w:val="0000FF"/>
          <w:lang w:val="uk" w:eastAsia="uk"/>
        </w:rPr>
        <w:t xml:space="preserve"> </w:t>
      </w:r>
      <w:hyperlink r:id="rId8">
        <w:r w:rsidRPr="005608F4">
          <w:rPr>
            <w:rFonts w:ascii="Times New Roman" w:eastAsia="Times New Roman" w:hAnsi="Times New Roman" w:cs="Times New Roman"/>
            <w:color w:val="0000FF"/>
            <w:u w:val="single" w:color="0000FF"/>
            <w:lang w:val="uk" w:eastAsia="uk"/>
          </w:rPr>
          <w:t>investment-rules-2/$FILE/EY-tomorrows-investment-rules-2.0.pdf</w:t>
        </w:r>
        <w:r w:rsidRPr="005608F4">
          <w:rPr>
            <w:rFonts w:ascii="Times New Roman" w:eastAsia="Times New Roman" w:hAnsi="Times New Roman" w:cs="Times New Roman"/>
            <w:lang w:val="uk" w:eastAsia="uk"/>
          </w:rPr>
          <w:t>.</w:t>
        </w:r>
      </w:hyperlink>
    </w:p>
    <w:p w:rsidR="005608F4" w:rsidRPr="005608F4" w:rsidRDefault="005608F4" w:rsidP="005608F4">
      <w:pPr>
        <w:widowControl w:val="0"/>
        <w:numPr>
          <w:ilvl w:val="0"/>
          <w:numId w:val="1"/>
        </w:numPr>
        <w:tabs>
          <w:tab w:val="left" w:pos="497"/>
        </w:tabs>
        <w:autoSpaceDE w:val="0"/>
        <w:autoSpaceDN w:val="0"/>
        <w:spacing w:after="0" w:line="240" w:lineRule="auto"/>
        <w:ind w:right="307"/>
        <w:jc w:val="both"/>
        <w:rPr>
          <w:rFonts w:ascii="Times New Roman" w:eastAsia="Times New Roman" w:hAnsi="Times New Roman" w:cs="Times New Roman"/>
          <w:lang w:val="uk" w:eastAsia="uk"/>
        </w:rPr>
      </w:pPr>
      <w:r w:rsidRPr="005608F4">
        <w:rPr>
          <w:rFonts w:ascii="Times New Roman" w:eastAsia="Times New Roman" w:hAnsi="Times New Roman" w:cs="Times New Roman"/>
          <w:noProof/>
          <w:lang w:eastAsia="ru-RU"/>
        </w:rPr>
        <mc:AlternateContent>
          <mc:Choice Requires="wps">
            <w:drawing>
              <wp:anchor distT="0" distB="0" distL="114300" distR="114300" simplePos="0" relativeHeight="251659264" behindDoc="1" locked="0" layoutInCell="1" allowOverlap="1">
                <wp:simplePos x="0" y="0"/>
                <wp:positionH relativeFrom="page">
                  <wp:posOffset>2994025</wp:posOffset>
                </wp:positionH>
                <wp:positionV relativeFrom="paragraph">
                  <wp:posOffset>130810</wp:posOffset>
                </wp:positionV>
                <wp:extent cx="1795780" cy="164465"/>
                <wp:effectExtent l="3175" t="0" r="127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34B1F" id="Прямоугольник 18" o:spid="_x0000_s1026" style="position:absolute;margin-left:235.75pt;margin-top:10.3pt;width:141.4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" stroked="f">
                <w10:wrap anchorx="page"/>
              </v:rect>
            </w:pict>
          </mc:Fallback>
        </mc:AlternateContent>
      </w:r>
      <w:r w:rsidRPr="005608F4">
        <w:rPr>
          <w:rFonts w:ascii="Times New Roman" w:eastAsia="Times New Roman" w:hAnsi="Times New Roman" w:cs="Times New Roman"/>
          <w:lang w:val="uk" w:eastAsia="uk"/>
        </w:rPr>
        <w:t>Corporate performance: What do investors want to know? Powerful stories through integrated reporting. PricewaterhouseCoopers,</w:t>
      </w:r>
      <w:r w:rsidRPr="005608F4">
        <w:rPr>
          <w:rFonts w:ascii="Times New Roman" w:eastAsia="Times New Roman" w:hAnsi="Times New Roman" w:cs="Times New Roman"/>
          <w:spacing w:val="-6"/>
          <w:lang w:val="uk" w:eastAsia="uk"/>
        </w:rPr>
        <w:t xml:space="preserve"> </w:t>
      </w:r>
      <w:r w:rsidRPr="005608F4">
        <w:rPr>
          <w:rFonts w:ascii="Times New Roman" w:eastAsia="Times New Roman" w:hAnsi="Times New Roman" w:cs="Times New Roman"/>
          <w:lang w:val="uk" w:eastAsia="uk"/>
        </w:rPr>
        <w:t>2014</w:t>
      </w:r>
    </w:p>
    <w:p w:rsidR="005608F4" w:rsidRPr="005608F4" w:rsidRDefault="005608F4" w:rsidP="005608F4">
      <w:pPr>
        <w:widowControl w:val="0"/>
        <w:tabs>
          <w:tab w:val="left" w:pos="2490"/>
          <w:tab w:val="left" w:pos="4212"/>
          <w:tab w:val="left" w:pos="5808"/>
        </w:tabs>
        <w:autoSpaceDE w:val="0"/>
        <w:autoSpaceDN w:val="0"/>
        <w:spacing w:before="3" w:after="0" w:line="240" w:lineRule="auto"/>
        <w:ind w:left="213" w:right="309"/>
        <w:rPr>
          <w:rFonts w:ascii="Times New Roman" w:eastAsia="Times New Roman" w:hAnsi="Times New Roman" w:cs="Times New Roman"/>
          <w:lang w:val="uk" w:eastAsia="uk"/>
        </w:rPr>
      </w:pPr>
      <w:r w:rsidRPr="005608F4">
        <w:rPr>
          <w:rFonts w:ascii="Symbol" w:eastAsia="Times New Roman" w:hAnsi="Symbol" w:cs="Times New Roman"/>
          <w:lang w:val="uk" w:eastAsia="uk"/>
        </w:rPr>
        <w:t></w:t>
      </w:r>
      <w:r w:rsidRPr="005608F4">
        <w:rPr>
          <w:rFonts w:ascii="Times New Roman" w:eastAsia="Times New Roman" w:hAnsi="Times New Roman" w:cs="Times New Roman"/>
          <w:lang w:val="uk" w:eastAsia="uk"/>
        </w:rPr>
        <w:t>Електронний</w:t>
      </w:r>
      <w:r>
        <w:rPr>
          <w:rFonts w:ascii="Times New Roman" w:eastAsia="Times New Roman" w:hAnsi="Times New Roman" w:cs="Times New Roman"/>
          <w:lang w:val="uk" w:eastAsia="uk"/>
        </w:rPr>
        <w:t xml:space="preserve"> </w:t>
      </w:r>
      <w:r w:rsidRPr="005608F4">
        <w:rPr>
          <w:rFonts w:ascii="Times New Roman" w:eastAsia="Times New Roman" w:hAnsi="Times New Roman" w:cs="Times New Roman"/>
          <w:lang w:val="uk" w:eastAsia="uk"/>
        </w:rPr>
        <w:t>ресурс</w:t>
      </w:r>
      <w:r w:rsidRPr="005608F4">
        <w:rPr>
          <w:rFonts w:ascii="Symbol" w:eastAsia="Times New Roman" w:hAnsi="Symbol" w:cs="Times New Roman"/>
          <w:lang w:val="uk" w:eastAsia="uk"/>
        </w:rPr>
        <w:t></w:t>
      </w:r>
      <w:r w:rsidRPr="005608F4">
        <w:rPr>
          <w:rFonts w:ascii="Times New Roman" w:eastAsia="Times New Roman" w:hAnsi="Times New Roman" w:cs="Times New Roman"/>
          <w:lang w:val="uk" w:eastAsia="uk"/>
        </w:rPr>
        <w:t>.</w:t>
      </w:r>
      <w:r>
        <w:rPr>
          <w:rFonts w:ascii="Times New Roman" w:eastAsia="Times New Roman" w:hAnsi="Times New Roman" w:cs="Times New Roman"/>
          <w:lang w:val="uk" w:eastAsia="uk"/>
        </w:rPr>
        <w:t xml:space="preserve"> </w:t>
      </w:r>
      <w:r w:rsidRPr="005608F4">
        <w:rPr>
          <w:rFonts w:ascii="Times New Roman" w:eastAsia="Times New Roman" w:hAnsi="Times New Roman" w:cs="Times New Roman"/>
          <w:lang w:val="uk" w:eastAsia="uk"/>
        </w:rPr>
        <w:t>Режим</w:t>
      </w:r>
      <w:r>
        <w:rPr>
          <w:rFonts w:ascii="Times New Roman" w:eastAsia="Times New Roman" w:hAnsi="Times New Roman" w:cs="Times New Roman"/>
          <w:lang w:val="uk" w:eastAsia="uk"/>
        </w:rPr>
        <w:t xml:space="preserve"> </w:t>
      </w:r>
      <w:r w:rsidRPr="005608F4">
        <w:rPr>
          <w:rFonts w:ascii="Times New Roman" w:eastAsia="Times New Roman" w:hAnsi="Times New Roman" w:cs="Times New Roman"/>
          <w:lang w:val="uk" w:eastAsia="uk"/>
        </w:rPr>
        <w:t xml:space="preserve">доступу: </w:t>
      </w:r>
      <w:hyperlink r:id="rId9">
        <w:r w:rsidRPr="005608F4">
          <w:rPr>
            <w:rFonts w:ascii="Times New Roman" w:eastAsia="Times New Roman" w:hAnsi="Times New Roman" w:cs="Times New Roman"/>
            <w:color w:val="0000FF"/>
            <w:u w:val="single" w:color="0000FF"/>
            <w:lang w:val="uk" w:eastAsia="uk"/>
          </w:rPr>
          <w:t>https://www.pwc.com/gx/en/audit-services/corporate-</w:t>
        </w:r>
      </w:hyperlink>
      <w:r w:rsidRPr="005608F4">
        <w:rPr>
          <w:rFonts w:ascii="Times New Roman" w:eastAsia="Times New Roman" w:hAnsi="Times New Roman" w:cs="Times New Roman"/>
          <w:color w:val="0000FF"/>
          <w:lang w:val="uk" w:eastAsia="uk"/>
        </w:rPr>
        <w:t xml:space="preserve"> </w:t>
      </w:r>
      <w:hyperlink r:id="rId10">
        <w:r w:rsidRPr="005608F4">
          <w:rPr>
            <w:rFonts w:ascii="Times New Roman" w:eastAsia="Times New Roman" w:hAnsi="Times New Roman" w:cs="Times New Roman"/>
            <w:color w:val="0000FF"/>
            <w:u w:val="single" w:color="0000FF"/>
            <w:lang w:val="uk" w:eastAsia="uk"/>
          </w:rPr>
          <w:t>reporting/publications/investor-view/assets/pwc-investors-survey-</w:t>
        </w:r>
      </w:hyperlink>
      <w:r w:rsidRPr="005608F4">
        <w:rPr>
          <w:rFonts w:ascii="Times New Roman" w:eastAsia="Times New Roman" w:hAnsi="Times New Roman" w:cs="Times New Roman"/>
          <w:color w:val="0000FF"/>
          <w:lang w:val="uk" w:eastAsia="uk"/>
        </w:rPr>
        <w:t xml:space="preserve"> </w:t>
      </w:r>
      <w:hyperlink r:id="rId11">
        <w:r w:rsidRPr="005608F4">
          <w:rPr>
            <w:rFonts w:ascii="Times New Roman" w:eastAsia="Times New Roman" w:hAnsi="Times New Roman" w:cs="Times New Roman"/>
            <w:color w:val="0000FF"/>
            <w:u w:val="single" w:color="0000FF"/>
            <w:lang w:val="uk" w:eastAsia="uk"/>
          </w:rPr>
          <w:t>powerful-stories-through-integrated-reporting.pdf</w:t>
        </w:r>
        <w:r w:rsidRPr="005608F4">
          <w:rPr>
            <w:rFonts w:ascii="Times New Roman" w:eastAsia="Times New Roman" w:hAnsi="Times New Roman" w:cs="Times New Roman"/>
            <w:lang w:val="uk" w:eastAsia="uk"/>
          </w:rPr>
          <w:t>.</w:t>
        </w:r>
      </w:hyperlink>
    </w:p>
    <w:p w:rsidR="005608F4" w:rsidRPr="005608F4" w:rsidRDefault="005608F4" w:rsidP="005608F4">
      <w:pPr>
        <w:widowControl w:val="0"/>
        <w:numPr>
          <w:ilvl w:val="0"/>
          <w:numId w:val="1"/>
        </w:numPr>
        <w:tabs>
          <w:tab w:val="left" w:pos="497"/>
        </w:tabs>
        <w:autoSpaceDE w:val="0"/>
        <w:autoSpaceDN w:val="0"/>
        <w:spacing w:before="92" w:after="0" w:line="240" w:lineRule="auto"/>
        <w:ind w:right="305"/>
        <w:jc w:val="both"/>
        <w:rPr>
          <w:rFonts w:ascii="Times New Roman" w:eastAsia="Times New Roman" w:hAnsi="Times New Roman" w:cs="Times New Roman"/>
          <w:lang w:val="uk" w:eastAsia="uk"/>
        </w:rPr>
      </w:pPr>
      <w:r w:rsidRPr="005608F4">
        <w:rPr>
          <w:rFonts w:ascii="Times New Roman" w:eastAsia="Times New Roman" w:hAnsi="Times New Roman" w:cs="Times New Roman"/>
          <w:noProof/>
          <w:lang w:eastAsia="ru-RU"/>
        </w:rPr>
        <mc:AlternateContent>
          <mc:Choice Requires="wps">
            <w:drawing>
              <wp:anchor distT="0" distB="0" distL="114300" distR="114300" simplePos="0" relativeHeight="251660288" behindDoc="1" locked="0" layoutInCell="1" allowOverlap="1">
                <wp:simplePos x="0" y="0"/>
                <wp:positionH relativeFrom="page">
                  <wp:posOffset>1706245</wp:posOffset>
                </wp:positionH>
                <wp:positionV relativeFrom="paragraph">
                  <wp:posOffset>488315</wp:posOffset>
                </wp:positionV>
                <wp:extent cx="2590165" cy="164465"/>
                <wp:effectExtent l="127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9FD69" id="Прямоугольник 17" o:spid="_x0000_s1026" style="position:absolute;margin-left:134.35pt;margin-top:38.45pt;width:203.95pt;height: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" stroked="f">
                <w10:wrap anchorx="page"/>
              </v:rect>
            </w:pict>
          </mc:Fallback>
        </mc:AlternateContent>
      </w:r>
      <w:r w:rsidRPr="005608F4">
        <w:rPr>
          <w:rFonts w:ascii="Times New Roman" w:eastAsia="Times New Roman" w:hAnsi="Times New Roman" w:cs="Times New Roman"/>
          <w:lang w:val="uk" w:eastAsia="uk"/>
        </w:rPr>
        <w:t xml:space="preserve">Integrated Analysis: How investors are addressing environmental, social and governance factors in fundamental equity valuation. Principles for Responsible Investments, 2013 </w:t>
      </w:r>
      <w:r w:rsidRPr="005608F4">
        <w:rPr>
          <w:rFonts w:ascii="Symbol" w:eastAsia="Times New Roman" w:hAnsi="Symbol" w:cs="Times New Roman"/>
          <w:lang w:val="uk" w:eastAsia="uk"/>
        </w:rPr>
        <w:t></w:t>
      </w:r>
      <w:r w:rsidRPr="005608F4">
        <w:rPr>
          <w:rFonts w:ascii="Times New Roman" w:eastAsia="Times New Roman" w:hAnsi="Times New Roman" w:cs="Times New Roman"/>
          <w:lang w:val="uk" w:eastAsia="uk"/>
        </w:rPr>
        <w:t>Електронний ресурс</w:t>
      </w:r>
      <w:r w:rsidRPr="005608F4">
        <w:rPr>
          <w:rFonts w:ascii="Symbol" w:eastAsia="Times New Roman" w:hAnsi="Symbol" w:cs="Times New Roman"/>
          <w:lang w:val="uk" w:eastAsia="uk"/>
        </w:rPr>
        <w:t></w:t>
      </w:r>
      <w:r w:rsidRPr="005608F4">
        <w:rPr>
          <w:rFonts w:ascii="Times New Roman" w:eastAsia="Times New Roman" w:hAnsi="Times New Roman" w:cs="Times New Roman"/>
          <w:lang w:val="uk" w:eastAsia="uk"/>
        </w:rPr>
        <w:t>. Режим доступу:</w:t>
      </w:r>
      <w:r w:rsidRPr="005608F4">
        <w:rPr>
          <w:rFonts w:ascii="Times New Roman" w:eastAsia="Times New Roman" w:hAnsi="Times New Roman" w:cs="Times New Roman"/>
          <w:spacing w:val="-3"/>
          <w:lang w:val="uk" w:eastAsia="uk"/>
        </w:rPr>
        <w:t xml:space="preserve"> </w:t>
      </w:r>
      <w:r w:rsidRPr="005608F4">
        <w:rPr>
          <w:rFonts w:ascii="Times New Roman" w:eastAsia="Times New Roman" w:hAnsi="Times New Roman" w:cs="Times New Roman"/>
          <w:lang w:val="uk" w:eastAsia="uk"/>
        </w:rPr>
        <w:t>https://</w:t>
      </w:r>
      <w:hyperlink r:id="rId12">
        <w:r w:rsidRPr="005608F4">
          <w:rPr>
            <w:rFonts w:ascii="Times New Roman" w:eastAsia="Times New Roman" w:hAnsi="Times New Roman" w:cs="Times New Roman"/>
            <w:lang w:val="uk" w:eastAsia="uk"/>
          </w:rPr>
          <w:t>www.unpri.org/download_report/3950.</w:t>
        </w:r>
      </w:hyperlink>
    </w:p>
    <w:p w:rsidR="005608F4" w:rsidRPr="005608F4" w:rsidRDefault="005608F4" w:rsidP="005608F4">
      <w:pPr>
        <w:widowControl w:val="0"/>
        <w:tabs>
          <w:tab w:val="left" w:pos="2491"/>
          <w:tab w:val="left" w:pos="4212"/>
          <w:tab w:val="left" w:pos="5808"/>
        </w:tabs>
        <w:autoSpaceDE w:val="0"/>
        <w:autoSpaceDN w:val="0"/>
        <w:spacing w:before="9" w:after="0" w:line="216" w:lineRule="auto"/>
        <w:ind w:right="309"/>
        <w:rPr>
          <w:rFonts w:ascii="Times New Roman" w:eastAsia="Times New Roman" w:hAnsi="Times New Roman" w:cs="Times New Roman"/>
          <w:lang w:val="uk" w:eastAsia="uk"/>
        </w:rPr>
      </w:pPr>
    </w:p>
    <w:sectPr w:rsidR="005608F4" w:rsidRPr="005608F4" w:rsidSect="004F40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93E" w:rsidRDefault="00CA693E">
      <w:pPr>
        <w:spacing w:after="0" w:line="240" w:lineRule="auto"/>
      </w:pPr>
      <w:r>
        <w:separator/>
      </w:r>
    </w:p>
  </w:endnote>
  <w:endnote w:type="continuationSeparator" w:id="0">
    <w:p w:rsidR="00CA693E" w:rsidRDefault="00CA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93E" w:rsidRDefault="00CA693E">
      <w:pPr>
        <w:spacing w:after="0" w:line="240" w:lineRule="auto"/>
      </w:pPr>
      <w:r>
        <w:separator/>
      </w:r>
    </w:p>
  </w:footnote>
  <w:footnote w:type="continuationSeparator" w:id="0">
    <w:p w:rsidR="00CA693E" w:rsidRDefault="00CA6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7026C"/>
    <w:multiLevelType w:val="hybridMultilevel"/>
    <w:tmpl w:val="4F2CCD9E"/>
    <w:lvl w:ilvl="0" w:tplc="B84A7498">
      <w:start w:val="1"/>
      <w:numFmt w:val="decimal"/>
      <w:lvlText w:val="%1."/>
      <w:lvlJc w:val="left"/>
      <w:pPr>
        <w:ind w:left="213" w:hanging="284"/>
      </w:pPr>
      <w:rPr>
        <w:rFonts w:ascii="Times New Roman" w:eastAsia="Times New Roman" w:hAnsi="Times New Roman" w:cs="Times New Roman" w:hint="default"/>
        <w:w w:val="100"/>
        <w:sz w:val="22"/>
        <w:szCs w:val="22"/>
        <w:lang w:val="uk" w:eastAsia="uk" w:bidi="uk"/>
      </w:rPr>
    </w:lvl>
    <w:lvl w:ilvl="1" w:tplc="4F94549E">
      <w:numFmt w:val="bullet"/>
      <w:lvlText w:val="•"/>
      <w:lvlJc w:val="left"/>
      <w:pPr>
        <w:ind w:left="891" w:hanging="284"/>
      </w:pPr>
      <w:rPr>
        <w:rFonts w:hint="default"/>
        <w:lang w:val="uk" w:eastAsia="uk" w:bidi="uk"/>
      </w:rPr>
    </w:lvl>
    <w:lvl w:ilvl="2" w:tplc="A9209FD8">
      <w:numFmt w:val="bullet"/>
      <w:lvlText w:val="•"/>
      <w:lvlJc w:val="left"/>
      <w:pPr>
        <w:ind w:left="1562" w:hanging="284"/>
      </w:pPr>
      <w:rPr>
        <w:rFonts w:hint="default"/>
        <w:lang w:val="uk" w:eastAsia="uk" w:bidi="uk"/>
      </w:rPr>
    </w:lvl>
    <w:lvl w:ilvl="3" w:tplc="A1C69DB0">
      <w:numFmt w:val="bullet"/>
      <w:lvlText w:val="•"/>
      <w:lvlJc w:val="left"/>
      <w:pPr>
        <w:ind w:left="2233" w:hanging="284"/>
      </w:pPr>
      <w:rPr>
        <w:rFonts w:hint="default"/>
        <w:lang w:val="uk" w:eastAsia="uk" w:bidi="uk"/>
      </w:rPr>
    </w:lvl>
    <w:lvl w:ilvl="4" w:tplc="0E427D0E">
      <w:numFmt w:val="bullet"/>
      <w:lvlText w:val="•"/>
      <w:lvlJc w:val="left"/>
      <w:pPr>
        <w:ind w:left="2905" w:hanging="284"/>
      </w:pPr>
      <w:rPr>
        <w:rFonts w:hint="default"/>
        <w:lang w:val="uk" w:eastAsia="uk" w:bidi="uk"/>
      </w:rPr>
    </w:lvl>
    <w:lvl w:ilvl="5" w:tplc="0D7CB130">
      <w:numFmt w:val="bullet"/>
      <w:lvlText w:val="•"/>
      <w:lvlJc w:val="left"/>
      <w:pPr>
        <w:ind w:left="3576" w:hanging="284"/>
      </w:pPr>
      <w:rPr>
        <w:rFonts w:hint="default"/>
        <w:lang w:val="uk" w:eastAsia="uk" w:bidi="uk"/>
      </w:rPr>
    </w:lvl>
    <w:lvl w:ilvl="6" w:tplc="22742448">
      <w:numFmt w:val="bullet"/>
      <w:lvlText w:val="•"/>
      <w:lvlJc w:val="left"/>
      <w:pPr>
        <w:ind w:left="4247" w:hanging="284"/>
      </w:pPr>
      <w:rPr>
        <w:rFonts w:hint="default"/>
        <w:lang w:val="uk" w:eastAsia="uk" w:bidi="uk"/>
      </w:rPr>
    </w:lvl>
    <w:lvl w:ilvl="7" w:tplc="377A9B9A">
      <w:numFmt w:val="bullet"/>
      <w:lvlText w:val="•"/>
      <w:lvlJc w:val="left"/>
      <w:pPr>
        <w:ind w:left="4918" w:hanging="284"/>
      </w:pPr>
      <w:rPr>
        <w:rFonts w:hint="default"/>
        <w:lang w:val="uk" w:eastAsia="uk" w:bidi="uk"/>
      </w:rPr>
    </w:lvl>
    <w:lvl w:ilvl="8" w:tplc="D6F4ED82">
      <w:numFmt w:val="bullet"/>
      <w:lvlText w:val="•"/>
      <w:lvlJc w:val="left"/>
      <w:pPr>
        <w:ind w:left="5590" w:hanging="284"/>
      </w:pPr>
      <w:rPr>
        <w:rFonts w:hint="default"/>
        <w:lang w:val="uk" w:eastAsia="uk" w:bidi="u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C"/>
    <w:rsid w:val="0001105C"/>
    <w:rsid w:val="00063F00"/>
    <w:rsid w:val="000B41F2"/>
    <w:rsid w:val="00127318"/>
    <w:rsid w:val="00156E42"/>
    <w:rsid w:val="00215C4C"/>
    <w:rsid w:val="00362FE2"/>
    <w:rsid w:val="003A10F0"/>
    <w:rsid w:val="003E4744"/>
    <w:rsid w:val="0047131A"/>
    <w:rsid w:val="004F4000"/>
    <w:rsid w:val="00547539"/>
    <w:rsid w:val="00547AE1"/>
    <w:rsid w:val="005608F4"/>
    <w:rsid w:val="005A1F20"/>
    <w:rsid w:val="005D799F"/>
    <w:rsid w:val="005F6EB2"/>
    <w:rsid w:val="007E44B4"/>
    <w:rsid w:val="0083378A"/>
    <w:rsid w:val="00834156"/>
    <w:rsid w:val="008A1568"/>
    <w:rsid w:val="00903B79"/>
    <w:rsid w:val="00937954"/>
    <w:rsid w:val="0094167B"/>
    <w:rsid w:val="00957786"/>
    <w:rsid w:val="00995FC6"/>
    <w:rsid w:val="00A12C0D"/>
    <w:rsid w:val="00A34971"/>
    <w:rsid w:val="00A53C75"/>
    <w:rsid w:val="00AA3C14"/>
    <w:rsid w:val="00BB09A9"/>
    <w:rsid w:val="00BB79A9"/>
    <w:rsid w:val="00BE3D5C"/>
    <w:rsid w:val="00CA693E"/>
    <w:rsid w:val="00CF1754"/>
    <w:rsid w:val="00CF2069"/>
    <w:rsid w:val="00DB0369"/>
    <w:rsid w:val="00DB4F85"/>
    <w:rsid w:val="00E420E8"/>
    <w:rsid w:val="00E55A08"/>
    <w:rsid w:val="00EA206C"/>
    <w:rsid w:val="00F43DD8"/>
    <w:rsid w:val="00F711D7"/>
    <w:rsid w:val="00FC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ECB02-9CFB-4C44-8C4E-A53B5D2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5F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5FC6"/>
    <w:pPr>
      <w:widowControl w:val="0"/>
      <w:autoSpaceDE w:val="0"/>
      <w:autoSpaceDN w:val="0"/>
      <w:spacing w:after="0" w:line="240" w:lineRule="auto"/>
    </w:pPr>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com/Publication/vwLUAssets/EY-tomorrows-investment-rules-2/%24FILE/EY-tomorrows-investment-rules-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y.com/Publication/vwLUAssets/EY-tomorrows-investment-rules-2/%24FILE/EY-tomorrows-investment-rules-2.0.pdf" TargetMode="External"/><Relationship Id="rId12" Type="http://schemas.openxmlformats.org/officeDocument/2006/relationships/hyperlink" Target="http://www.unpri.org/download_report/3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wc.com/gx/en/audit-services/corporate-reporting/publications/investor-view/assets/pwc-investors-survey-powerful-stories-through-integrated-reporting.pdf" TargetMode="External"/><Relationship Id="rId5" Type="http://schemas.openxmlformats.org/officeDocument/2006/relationships/footnotes" Target="footnotes.xml"/><Relationship Id="rId10" Type="http://schemas.openxmlformats.org/officeDocument/2006/relationships/hyperlink" Target="https://www.pwc.com/gx/en/audit-services/corporate-reporting/publications/investor-view/assets/pwc-investors-survey-powerful-stories-through-integrated-reporting.pdf" TargetMode="External"/><Relationship Id="rId4" Type="http://schemas.openxmlformats.org/officeDocument/2006/relationships/webSettings" Target="webSettings.xml"/><Relationship Id="rId9" Type="http://schemas.openxmlformats.org/officeDocument/2006/relationships/hyperlink" Target="https://www.pwc.com/gx/en/audit-services/corporate-reporting/publications/investor-view/assets/pwc-investors-survey-powerful-stories-through-integrated-reporting.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1107</Words>
  <Characters>6312</Characters>
  <Application>Microsoft Office Word</Application>
  <DocSecurity>0</DocSecurity>
  <Lines>52</Lines>
  <Paragraphs>14</Paragraphs>
  <ScaleCrop>false</ScaleCrop>
  <Company>SPecialiST RePack</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2018-05-15T07:37:00Z</dcterms:created>
  <dcterms:modified xsi:type="dcterms:W3CDTF">2018-05-20T14:21:00Z</dcterms:modified>
</cp:coreProperties>
</file>