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C4" w:rsidRDefault="00F911C4" w:rsidP="00F911C4">
      <w:pPr>
        <w:spacing w:before="208" w:line="240" w:lineRule="exact"/>
        <w:ind w:left="213"/>
        <w:rPr>
          <w:i/>
        </w:rPr>
      </w:pPr>
      <w:r>
        <w:rPr>
          <w:b/>
          <w:i/>
        </w:rPr>
        <w:t>В.І. Перебийніс</w:t>
      </w:r>
      <w:r>
        <w:rPr>
          <w:i/>
        </w:rPr>
        <w:t>, д.е.н., професор</w:t>
      </w:r>
    </w:p>
    <w:p w:rsidR="00F911C4" w:rsidRDefault="00F911C4" w:rsidP="00F911C4">
      <w:pPr>
        <w:spacing w:before="8" w:line="216" w:lineRule="auto"/>
        <w:ind w:left="213"/>
        <w:rPr>
          <w:i/>
        </w:rPr>
      </w:pPr>
      <w:r>
        <w:rPr>
          <w:i/>
        </w:rPr>
        <w:t xml:space="preserve">ВНЗ Укоопспілки «Полтавський університет економіки і торгівлі» </w:t>
      </w:r>
    </w:p>
    <w:p w:rsidR="00F911C4" w:rsidRDefault="00F911C4" w:rsidP="00F911C4">
      <w:pPr>
        <w:spacing w:before="8" w:line="216" w:lineRule="auto"/>
        <w:ind w:left="213"/>
        <w:rPr>
          <w:i/>
        </w:rPr>
      </w:pPr>
      <w:r>
        <w:rPr>
          <w:b/>
          <w:i/>
        </w:rPr>
        <w:t>Т.П. Житник</w:t>
      </w:r>
      <w:r>
        <w:rPr>
          <w:i/>
        </w:rPr>
        <w:t xml:space="preserve">, к.е.н., доцент кафедри економіки, підприємництва, </w:t>
      </w:r>
    </w:p>
    <w:p w:rsidR="00F911C4" w:rsidRDefault="00F911C4" w:rsidP="00F911C4">
      <w:pPr>
        <w:spacing w:before="8" w:line="216" w:lineRule="auto"/>
        <w:ind w:left="213"/>
        <w:rPr>
          <w:i/>
          <w:lang w:val="uk-UA"/>
        </w:rPr>
      </w:pPr>
      <w:r>
        <w:rPr>
          <w:i/>
        </w:rPr>
        <w:t>торгівлі та біржової діяльності</w:t>
      </w:r>
      <w:r>
        <w:rPr>
          <w:i/>
          <w:lang w:val="uk-UA"/>
        </w:rPr>
        <w:t xml:space="preserve"> </w:t>
      </w:r>
    </w:p>
    <w:p w:rsidR="00F911C4" w:rsidRDefault="00F911C4" w:rsidP="00F911C4">
      <w:pPr>
        <w:spacing w:before="8" w:line="216" w:lineRule="auto"/>
        <w:ind w:left="213"/>
        <w:rPr>
          <w:i/>
        </w:rPr>
      </w:pPr>
      <w:r>
        <w:rPr>
          <w:i/>
        </w:rPr>
        <w:t>Білоцерківський національний аграрний університет</w:t>
      </w:r>
    </w:p>
    <w:p w:rsidR="00F911C4" w:rsidRDefault="00F911C4" w:rsidP="00F911C4">
      <w:pPr>
        <w:spacing w:before="8" w:line="216" w:lineRule="auto"/>
        <w:ind w:left="213" w:right="3048"/>
        <w:rPr>
          <w:i/>
        </w:rPr>
      </w:pPr>
      <w:r>
        <w:rPr>
          <w:b/>
          <w:i/>
        </w:rPr>
        <w:t>М.Н. Малиш</w:t>
      </w:r>
      <w:r>
        <w:rPr>
          <w:i/>
        </w:rPr>
        <w:t>, д.е.н., професор Міжнародна академія аграрної освіти</w:t>
      </w:r>
    </w:p>
    <w:p w:rsidR="00F911C4" w:rsidRDefault="00F911C4" w:rsidP="00F911C4">
      <w:pPr>
        <w:pStyle w:val="a3"/>
        <w:spacing w:before="4"/>
        <w:ind w:left="0"/>
        <w:jc w:val="left"/>
        <w:rPr>
          <w:i/>
          <w:sz w:val="20"/>
        </w:rPr>
      </w:pPr>
    </w:p>
    <w:p w:rsidR="00F911C4" w:rsidRDefault="00F911C4" w:rsidP="00F911C4">
      <w:pPr>
        <w:pStyle w:val="2"/>
        <w:spacing w:line="216" w:lineRule="auto"/>
        <w:ind w:left="2693" w:right="655" w:hanging="1419"/>
      </w:pPr>
      <w:bookmarkStart w:id="0" w:name="_GoBack"/>
      <w:r>
        <w:t>МОДЕЛЮВАННЯ ЗАЙНЯТОСТІ СІЛЬСЬКОГО НАСЕЛЕННЯ</w:t>
      </w:r>
    </w:p>
    <w:bookmarkEnd w:id="0"/>
    <w:p w:rsidR="00F911C4" w:rsidRDefault="00F911C4" w:rsidP="00F911C4">
      <w:pPr>
        <w:pStyle w:val="a3"/>
        <w:spacing w:before="3"/>
        <w:ind w:left="0"/>
        <w:jc w:val="left"/>
        <w:rPr>
          <w:b/>
          <w:sz w:val="19"/>
        </w:rPr>
      </w:pPr>
    </w:p>
    <w:p w:rsidR="00F911C4" w:rsidRDefault="00F911C4" w:rsidP="00F911C4">
      <w:pPr>
        <w:pStyle w:val="a3"/>
        <w:spacing w:line="216" w:lineRule="auto"/>
        <w:ind w:right="305" w:firstLine="396"/>
      </w:pPr>
      <w:r>
        <w:t>Зайнятість сільського населення є одним з найважливіших макроекономічних показників, який визначає економічну кон'юнктуру національного ринку праці та впливає на рівень життя населення. На сучасному етапі сільський ринок праці перебуває у досить скрутному становищі: неспроможність працевлаштування; низький рівень заробітної плати; значна частка селян непрацездатного віку, яка не в змозі підняти економіку села; невисока питома вага інноваційних наукоємних галузей АПК; невизначеність прогнозних потреб ринку праці у фахівцях певних професій і кваліфікації; низька інвестиційна активність; переважно сезонний характер праці в сільському господарстві; відсутність розвиненої інфраструктури села тощо.</w:t>
      </w:r>
    </w:p>
    <w:p w:rsidR="00F911C4" w:rsidRDefault="00F911C4" w:rsidP="00F911C4">
      <w:pPr>
        <w:pStyle w:val="a3"/>
        <w:spacing w:before="2" w:line="216" w:lineRule="auto"/>
        <w:ind w:right="303" w:firstLine="396"/>
      </w:pPr>
      <w:r>
        <w:t>Проблеми розвитку зайнятості сільського населення в сучасних умовах залишаються найменш вивченими як в теоретико- методологічному, так і практичному аспекті, що й визначає актуальність досліджуваної тематики. У рамках даної проблеми особливої актуальності набуває розгляд питань моделювання очікуваного рівня зайнятості в системі регулювання соціально- економічного розвитку села.</w:t>
      </w:r>
    </w:p>
    <w:p w:rsidR="00F911C4" w:rsidRDefault="00F911C4" w:rsidP="00F911C4">
      <w:pPr>
        <w:pStyle w:val="a3"/>
        <w:spacing w:line="216" w:lineRule="auto"/>
        <w:ind w:right="310" w:firstLine="396"/>
      </w:pPr>
      <w:r>
        <w:t>Ефективне вирішення проблем у сфері сільської зайнятості населення неможливе без знання реальної ситуації на ринку праці держави та регіонів, постійного моніторингу та розроблення рекомендацій щодо поліпшення ситуації на них.</w:t>
      </w:r>
    </w:p>
    <w:p w:rsidR="00F911C4" w:rsidRDefault="00F911C4" w:rsidP="00F911C4">
      <w:pPr>
        <w:pStyle w:val="a3"/>
        <w:spacing w:line="216" w:lineRule="auto"/>
        <w:ind w:right="304" w:firstLine="396"/>
      </w:pPr>
      <w:r>
        <w:t xml:space="preserve">Математичне моделювання ринку праці як соціально- економічної системи спирається на досить всебічний і </w:t>
      </w:r>
      <w:r>
        <w:rPr>
          <w:spacing w:val="-4"/>
        </w:rPr>
        <w:t xml:space="preserve">глибоко </w:t>
      </w:r>
      <w:r>
        <w:t xml:space="preserve">розроблений апарат </w:t>
      </w:r>
      <w:r>
        <w:rPr>
          <w:spacing w:val="-3"/>
        </w:rPr>
        <w:t xml:space="preserve">економіко-математичних </w:t>
      </w:r>
      <w:r>
        <w:t xml:space="preserve">методів і моделей. Особливе значення для цілей цього дослідження мають роботи по статистичному моделюванню та прогнозуванню </w:t>
      </w:r>
      <w:r>
        <w:rPr>
          <w:spacing w:val="-3"/>
        </w:rPr>
        <w:t xml:space="preserve">економічних </w:t>
      </w:r>
      <w:r>
        <w:t xml:space="preserve">процесів, зокрема, роботи С.А. Айвазяна, </w:t>
      </w:r>
      <w:r>
        <w:rPr>
          <w:spacing w:val="-10"/>
        </w:rPr>
        <w:t xml:space="preserve">Т. </w:t>
      </w:r>
      <w:r>
        <w:t xml:space="preserve">Андерсона, Дж. </w:t>
      </w:r>
      <w:r>
        <w:rPr>
          <w:spacing w:val="-6"/>
        </w:rPr>
        <w:t xml:space="preserve">Боксу, </w:t>
      </w:r>
      <w:r>
        <w:rPr>
          <w:spacing w:val="-13"/>
        </w:rPr>
        <w:t xml:space="preserve">Г. </w:t>
      </w:r>
      <w:r>
        <w:t xml:space="preserve">Дженкінса, М. Кендела, </w:t>
      </w:r>
      <w:r>
        <w:rPr>
          <w:spacing w:val="-7"/>
        </w:rPr>
        <w:t xml:space="preserve">Я.Р. </w:t>
      </w:r>
      <w:r>
        <w:t xml:space="preserve">Магнуса [5], В.С. Мхітаряна, </w:t>
      </w:r>
      <w:r>
        <w:rPr>
          <w:spacing w:val="-14"/>
        </w:rPr>
        <w:t xml:space="preserve">Г. </w:t>
      </w:r>
      <w:r>
        <w:t xml:space="preserve">Тейла та ін. </w:t>
      </w:r>
      <w:r>
        <w:rPr>
          <w:spacing w:val="-3"/>
        </w:rPr>
        <w:t xml:space="preserve">Моделюванню </w:t>
      </w:r>
      <w:r>
        <w:t xml:space="preserve">процесів на ринку праці </w:t>
      </w:r>
      <w:r>
        <w:rPr>
          <w:spacing w:val="-4"/>
        </w:rPr>
        <w:t xml:space="preserve">також </w:t>
      </w:r>
      <w:r>
        <w:t xml:space="preserve">присвячені дослідження А.В. Андрюніна, В. Брагіна, </w:t>
      </w:r>
      <w:r>
        <w:rPr>
          <w:spacing w:val="-7"/>
        </w:rPr>
        <w:t xml:space="preserve">А.Г. </w:t>
      </w:r>
      <w:r>
        <w:t xml:space="preserve">Коровкіна, </w:t>
      </w:r>
      <w:r>
        <w:rPr>
          <w:spacing w:val="-6"/>
        </w:rPr>
        <w:t xml:space="preserve">Т.Д. </w:t>
      </w:r>
      <w:r>
        <w:t xml:space="preserve">Лапіної, Л. Ніворожкіної, В. </w:t>
      </w:r>
      <w:r>
        <w:rPr>
          <w:spacing w:val="-3"/>
        </w:rPr>
        <w:t xml:space="preserve">Осаковскої </w:t>
      </w:r>
      <w:r>
        <w:t xml:space="preserve">К.В., Парбузіна А.В., Полежаєва, К.Н. Сабірьянова, Л.С. Чижової та ін. Серед вітчизняних вчених питаннями моделювання та прогнозування соціально-економічних процесів займаються Васильєв О.М.[1], </w:t>
      </w:r>
      <w:r>
        <w:rPr>
          <w:spacing w:val="-5"/>
        </w:rPr>
        <w:t xml:space="preserve">Кулініч </w:t>
      </w:r>
      <w:r>
        <w:rPr>
          <w:spacing w:val="-8"/>
        </w:rPr>
        <w:t xml:space="preserve">Р.О. </w:t>
      </w:r>
      <w:r>
        <w:t xml:space="preserve">[2], Островський П.І. [3], Возняк О. </w:t>
      </w:r>
      <w:r>
        <w:rPr>
          <w:spacing w:val="-9"/>
        </w:rPr>
        <w:t xml:space="preserve">Г., </w:t>
      </w:r>
      <w:r>
        <w:t xml:space="preserve">Приймак В.І., </w:t>
      </w:r>
      <w:r>
        <w:rPr>
          <w:spacing w:val="-4"/>
        </w:rPr>
        <w:t xml:space="preserve">Котирло </w:t>
      </w:r>
      <w:r>
        <w:t>Є. та ін. У більшості, це</w:t>
      </w:r>
      <w:r>
        <w:rPr>
          <w:spacing w:val="35"/>
        </w:rPr>
        <w:t xml:space="preserve"> </w:t>
      </w:r>
      <w:r>
        <w:t>статистичне</w:t>
      </w:r>
      <w:r>
        <w:rPr>
          <w:lang w:val="uk-UA"/>
        </w:rPr>
        <w:t xml:space="preserve"> </w:t>
      </w:r>
      <w:r>
        <w:t>моделювання і прогнозування на основі класичного кореляційно- регресійного або кластерного аналізу. У дослідженнях цих вчених розроблено широке коло теоретичних і практичних аспектів моделювання процесів ринку праці. Однак особливості місцевого рівня стосовно моделювання сільської зайнятості ще недостатньо вивчені</w:t>
      </w:r>
    </w:p>
    <w:p w:rsidR="00F911C4" w:rsidRDefault="00F911C4" w:rsidP="00F911C4">
      <w:pPr>
        <w:pStyle w:val="a3"/>
        <w:spacing w:line="216" w:lineRule="auto"/>
        <w:ind w:right="305" w:firstLine="396"/>
      </w:pPr>
      <w:r>
        <w:t>Зайнятість трудових ресурсів у сільськогосподарському виробництві об`єктивно дуже різна і визначається природними умовами, станом місцевих сільськогосподарських підприємств, розвитком несільськогосподарських сфер зайнятості в конкретній місцевості, щільністю населення, землезабезпеченістю, продуктивністю праці, розміром заробітної плати та іншими факторами. Частина факторів впливає на використання трудових ресурсів безпосередньо, інші - опосередковано, через діяльність людини.</w:t>
      </w:r>
    </w:p>
    <w:p w:rsidR="00F911C4" w:rsidRDefault="00F911C4" w:rsidP="00F911C4">
      <w:pPr>
        <w:pStyle w:val="a3"/>
        <w:spacing w:before="1" w:line="216" w:lineRule="auto"/>
        <w:ind w:right="306" w:firstLine="396"/>
      </w:pPr>
      <w:r>
        <w:t>Кількість факторів і значущість кожного з них не є постійними величинами: по мірі зміни виробничих умов і рівня життя сільського населення значення одних знижується, а інших  - зростає. Наприклад, зараз характерним є збільшення загальної кількості діючих факторів, що лежать поза межами виробництва. Тому визначати, оцінювати і прогнозувати зайнятість трудових ресурсів потрібно починаючи від кожного села та враховуючи несільськогосподарську діяльність. Слід враховувати і принципові відмінності в приміських і периферійних селах, оскільки в  першому випадку для селян розширюються можливості зайнятості та прослідковується закономірність росту інтенсивності землевикористання при наближенні до</w:t>
      </w:r>
      <w:r>
        <w:rPr>
          <w:spacing w:val="-5"/>
        </w:rPr>
        <w:t xml:space="preserve"> </w:t>
      </w:r>
      <w:r>
        <w:t>міста.</w:t>
      </w:r>
    </w:p>
    <w:p w:rsidR="00F911C4" w:rsidRDefault="00F911C4" w:rsidP="00F911C4">
      <w:pPr>
        <w:pStyle w:val="a3"/>
        <w:spacing w:before="2" w:line="216" w:lineRule="auto"/>
        <w:ind w:right="307" w:firstLine="396"/>
      </w:pPr>
      <w:r>
        <w:t xml:space="preserve">Вплив безлічі факторів на використання трудових ресурсів в аграрних підприємствах характеризується тісним взаємозв'язком цих факторів. Встановити залежність рівня сільськогосподарської зайнятості від певних чинників та визначити рівень впливу останніх на використання трудових ресурсів можна за допомогою групування даних і кореляційно-регресійного аналізу. Завдяки групуваню даних нами вивчено суть взаємозв’язків, причини їх виникнення та характер взаємодії ряду факторів, що в певній мірі впливають на зміну рівня використання трудових ресурсів аграрних підприємств. Кореляційно-регресійний аналіз дає </w:t>
      </w:r>
      <w:r>
        <w:lastRenderedPageBreak/>
        <w:t>змогу визначити тісноту і порівняльний кількісний бік</w:t>
      </w:r>
      <w:r>
        <w:rPr>
          <w:spacing w:val="-8"/>
        </w:rPr>
        <w:t xml:space="preserve"> </w:t>
      </w:r>
      <w:r>
        <w:t>зв`язку.</w:t>
      </w:r>
    </w:p>
    <w:p w:rsidR="00F911C4" w:rsidRDefault="00F911C4" w:rsidP="00F911C4">
      <w:pPr>
        <w:pStyle w:val="a3"/>
        <w:spacing w:line="216" w:lineRule="auto"/>
        <w:ind w:right="306" w:firstLine="396"/>
      </w:pPr>
      <w:r>
        <w:t>У сільськогосподарських підприємствах, залежно від комплексу факторів, складається різна забезпеченість їх робочою силою і, як результат, різний рівень її використання. Водночас узагальнене визначення соціально-економічних факторів ускладнюється розрізненими даними про соціальний розвиток підприємств. Окремі сторони цих факторів характеризуються питомою</w:t>
      </w:r>
      <w:r>
        <w:rPr>
          <w:spacing w:val="34"/>
        </w:rPr>
        <w:t xml:space="preserve"> </w:t>
      </w:r>
      <w:r>
        <w:t>вагою</w:t>
      </w:r>
      <w:r>
        <w:rPr>
          <w:spacing w:val="37"/>
        </w:rPr>
        <w:t xml:space="preserve"> </w:t>
      </w:r>
      <w:r>
        <w:t>пенсіонерів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структурі</w:t>
      </w:r>
      <w:r>
        <w:rPr>
          <w:spacing w:val="35"/>
        </w:rPr>
        <w:t xml:space="preserve"> </w:t>
      </w:r>
      <w:r>
        <w:t>населення,</w:t>
      </w:r>
      <w:r>
        <w:rPr>
          <w:spacing w:val="35"/>
        </w:rPr>
        <w:t xml:space="preserve"> </w:t>
      </w:r>
      <w:r>
        <w:t>міграційним</w:t>
      </w:r>
      <w:r>
        <w:rPr>
          <w:spacing w:val="34"/>
        </w:rPr>
        <w:t xml:space="preserve"> </w:t>
      </w:r>
      <w:r>
        <w:t>і</w:t>
      </w:r>
      <w:r>
        <w:rPr>
          <w:lang w:val="uk-UA"/>
        </w:rPr>
        <w:t xml:space="preserve"> </w:t>
      </w:r>
      <w:r>
        <w:t>природним приростом, густотою населення, виробництвом валової продукції на одного зайнятого в сільському господарстві, заробітною платою тощо. Для всебічного аналізу використання трудових ресурсів при виборі факторів застосовано системний підхід, тобто враховано сукупність природно-географічних, соціально-економічних, демографічних і організаційних факторів, оскільки при взаємодії вплив кожного з них або знижується, або підсилюється.</w:t>
      </w:r>
    </w:p>
    <w:p w:rsidR="00F911C4" w:rsidRDefault="00F911C4" w:rsidP="00F911C4">
      <w:pPr>
        <w:pStyle w:val="a3"/>
        <w:spacing w:before="1" w:line="216" w:lineRule="auto"/>
        <w:ind w:right="305" w:firstLine="396"/>
      </w:pPr>
      <w:r>
        <w:t>Для визначення взаємозв'язків між динамікою зайнятості населення села та основних соціально-економічних показників розглянута база даних, що представляє собою сукупність показників, виходячи із загальних передумов можливого взаємозв'язку між ними, а також з урахуванням наявності статистичної інформації в обсязі, достатньому для проведення дослідження. Такий підхід дозволив визначити 16 найбільш важливих факторів впливу на ефективність використання трудових ресурсів у сільському господарстві і за допомогою електронно- обчислювальної техніки нами було проведено 16 парних кореляційно-регресійних аналізи.</w:t>
      </w:r>
    </w:p>
    <w:p w:rsidR="00F911C4" w:rsidRDefault="00F911C4" w:rsidP="00F911C4">
      <w:pPr>
        <w:pStyle w:val="a3"/>
        <w:spacing w:before="2" w:line="216" w:lineRule="auto"/>
        <w:ind w:right="305" w:firstLine="396"/>
      </w:pPr>
      <w:r>
        <w:t>При визначенні впливу різних факторів на рівень використання трудових ресурсів у сільському господарстві застосовано базисні функції, побудова яких полягає у визначенні кореляційно- регресійної моделі, в якій за результативний показник взято рівень сільськогосподарської зайнятості (Yх), а факторними ознаками є: частка пенсіонерів у структурі населення (Х1); навантаження осіб пенсійного віку на 1000 чоловік працездатного населення (Х2); міграційний приріст на 1000 чоловік сільського населення (Х3); природний приріст на 1000 чоловік сільського населення (Х4); щільність населення (Х5); частка міських жителів у структурі населення (Х6); близькість сіл (Х7); середня людність села (Х8); продуктивність праці (Х9); середньомісячна заробітна плата (Х10); частка зайнятих в особистих селянських господарствах (Х11); вироблено валової продукції в порівняльних цінах на 1 га сільськогосподарських угідь (Х12); частка валової продукції тваринництва (в порівняльних цінах) в загальному обсязі виробництва (Х13); частка ріллі в структурі угідь (Х14); частка суспільного сектора в структурі сільськогосподарських угідь (Х15); землезабезпеченість (Х16).</w:t>
      </w:r>
    </w:p>
    <w:p w:rsidR="00F911C4" w:rsidRDefault="00F911C4" w:rsidP="00F911C4">
      <w:pPr>
        <w:pStyle w:val="a3"/>
        <w:spacing w:line="216" w:lineRule="auto"/>
        <w:ind w:right="307" w:firstLine="396"/>
      </w:pPr>
      <w:r>
        <w:t>Тіснота зв'язку між рівнем сільськогосподарської зайнятості й вибраними факторами визначається парними коефіцієнтами кореляції [3, с.129]. За даними матриці коефіцієнтів парної кореляційної залежності встановлено, що найбільш тісний зв’язок із рівнем сільськогосподарської зайнятості (Yх) мають фактори: Х3, Х4, Х9, Х12, Х13, Х16. Істотність коефіцієнтів</w:t>
      </w:r>
      <w:r>
        <w:rPr>
          <w:spacing w:val="23"/>
        </w:rPr>
        <w:t xml:space="preserve"> </w:t>
      </w:r>
      <w:r>
        <w:t>кореляції</w:t>
      </w:r>
      <w:r>
        <w:rPr>
          <w:lang w:val="uk-UA"/>
        </w:rPr>
        <w:t xml:space="preserve"> </w:t>
      </w:r>
      <w:r>
        <w:t>характеризується критерієм надійності, кожний з яких визначається за формулою:</w:t>
      </w:r>
    </w:p>
    <w:p w:rsidR="00F911C4" w:rsidRDefault="00F911C4" w:rsidP="00F911C4">
      <w:pPr>
        <w:pStyle w:val="a3"/>
        <w:spacing w:line="216" w:lineRule="auto"/>
        <w:ind w:right="307" w:firstLine="396"/>
        <w:jc w:val="center"/>
      </w:pPr>
      <w:r>
        <w:rPr>
          <w:noProof/>
          <w:lang w:val="ru-RU" w:eastAsia="ru-RU"/>
        </w:rPr>
        <w:drawing>
          <wp:inline distT="0" distB="0" distL="0" distR="0" wp14:anchorId="7F747FC7" wp14:editId="7BA1546D">
            <wp:extent cx="1737059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288" t="43069" r="40507" b="46092"/>
                    <a:stretch/>
                  </pic:blipFill>
                  <pic:spPr bwMode="auto">
                    <a:xfrm>
                      <a:off x="0" y="0"/>
                      <a:ext cx="1739753" cy="52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1C4" w:rsidRDefault="00F911C4" w:rsidP="00F911C4">
      <w:pPr>
        <w:pStyle w:val="a3"/>
        <w:spacing w:line="232" w:lineRule="exact"/>
        <w:jc w:val="left"/>
      </w:pPr>
      <w:r>
        <w:t>де μ - критерій надійності; n – порядковий номер.</w:t>
      </w:r>
    </w:p>
    <w:p w:rsidR="00F911C4" w:rsidRDefault="00F911C4" w:rsidP="00F911C4">
      <w:pPr>
        <w:pStyle w:val="a3"/>
        <w:spacing w:before="8" w:line="216" w:lineRule="auto"/>
        <w:ind w:right="306" w:firstLine="396"/>
      </w:pPr>
      <w:r>
        <w:t xml:space="preserve">Обчисливши коефіцієнти надійності для шести відібраних </w:t>
      </w:r>
      <w:r>
        <w:rPr>
          <w:position w:val="2"/>
        </w:rPr>
        <w:t>факторів, отримуємо значення від 2,333 (μ</w:t>
      </w:r>
      <w:r>
        <w:rPr>
          <w:sz w:val="14"/>
        </w:rPr>
        <w:t>9</w:t>
      </w:r>
      <w:r>
        <w:rPr>
          <w:position w:val="2"/>
        </w:rPr>
        <w:t xml:space="preserve">) до 8,014 (μ4). При </w:t>
      </w:r>
      <w:r>
        <w:t>цьому мінімально припустимий розмір коефіцієнта надійності за таблицею Стьюдента при кількості спостережень 25 дорівнює 1,894 [2, с.278]. Тобто з розрахункових коефіцієнтів надійності випливає, що істотність впливу всіх факторів доведено.</w:t>
      </w:r>
    </w:p>
    <w:p w:rsidR="00F911C4" w:rsidRDefault="00F911C4" w:rsidP="00F911C4">
      <w:pPr>
        <w:pStyle w:val="a3"/>
        <w:tabs>
          <w:tab w:val="left" w:pos="3171"/>
          <w:tab w:val="left" w:pos="4453"/>
          <w:tab w:val="left" w:pos="6125"/>
        </w:tabs>
        <w:spacing w:line="216" w:lineRule="auto"/>
        <w:ind w:right="306" w:firstLine="396"/>
      </w:pPr>
      <w:r>
        <w:t>Отже, в процесі дослідження причинно-наслідкових зв`язків у кореляційно-регресійній</w:t>
      </w:r>
      <w:r>
        <w:tab/>
        <w:t>моделі</w:t>
      </w:r>
      <w:r>
        <w:tab/>
        <w:t>залежності</w:t>
      </w:r>
      <w:r>
        <w:tab/>
        <w:t>рівня сільськогосподарської зайнятості населення вивчалися 16 факторів, які, за нашими припущеннями, справляють певний вплив на формування зазначеної результативної ознаки. Однак, при дослідженні коректності кореляційно-регресійної моделі встановлено мультиколінеарність (зв`язок між факторами), в результаті чого з даної моделі було вилучено десять факторів. Тому остаточний варіант кореляційно-регресійної моделі включає лише шість факторів, а саме: міграційний приріст на 1000 чоловік сільського населення (Х1 (3); природний приріст на 1000 чоловік сільського населення (Х2 (4)); продуктивність праці (Х3 (9); вихід валової продукції на 1 га сільськогосподарських угідь в порівняльних цінах (Х4 (12); частка валової продукції тваринництва (в порівняльних цінах) в загальному обсязі виробництва (Х5 (13); землезабезпеченість (Х6 (16). В дужках зазначені порядкові номери даних факторних ознак у попередніх дослідженнях.</w:t>
      </w:r>
    </w:p>
    <w:p w:rsidR="00F911C4" w:rsidRDefault="00F911C4" w:rsidP="00F911C4">
      <w:pPr>
        <w:pStyle w:val="a3"/>
        <w:spacing w:line="216" w:lineRule="auto"/>
        <w:ind w:right="307" w:firstLine="396"/>
      </w:pPr>
      <w:r>
        <w:t xml:space="preserve">Дана кількість факторів дозволяє змістовно визначити вплив кожного з них, чого майже неможливо досягти при занадто великій кількості факторів. Рівняння кореляційно-регресійної </w:t>
      </w:r>
      <w:r>
        <w:lastRenderedPageBreak/>
        <w:t>моделі залежності рівня сільськогосподарської зайнятості населення (Yх) від перерахованих факторів має наступний вигляд:</w:t>
      </w:r>
    </w:p>
    <w:p w:rsidR="00F911C4" w:rsidRDefault="00F911C4" w:rsidP="00F911C4">
      <w:pPr>
        <w:pStyle w:val="a3"/>
        <w:spacing w:line="220" w:lineRule="exact"/>
        <w:ind w:left="1098"/>
        <w:jc w:val="left"/>
      </w:pPr>
      <w:r>
        <w:t>Yх = 4,152 + 0,015 Х1 + 0,176 Х2 - 0,048 Х3 + 0,013 Х4 +</w:t>
      </w:r>
    </w:p>
    <w:p w:rsidR="00F911C4" w:rsidRDefault="00F911C4" w:rsidP="00F911C4">
      <w:pPr>
        <w:pStyle w:val="a3"/>
        <w:spacing w:line="228" w:lineRule="exact"/>
        <w:ind w:left="2453"/>
        <w:jc w:val="left"/>
      </w:pPr>
      <w:r>
        <w:t>0,020 Х5 + 0,008 Х6.</w:t>
      </w:r>
    </w:p>
    <w:p w:rsidR="00F911C4" w:rsidRDefault="00F911C4" w:rsidP="00F911C4">
      <w:pPr>
        <w:pStyle w:val="a3"/>
        <w:spacing w:before="7" w:line="216" w:lineRule="auto"/>
        <w:ind w:right="308" w:firstLine="396"/>
      </w:pPr>
      <w:r>
        <w:t>Параметри одержаного рівняння кореляційно-регресійного зв`язку свідчать, що: підвищення міграційного і природного приросту на 1000 чоловік сільського населення (Х1, Х2), ріст показника виробництва валової продукції на 1 га сільськогосподарських угідь (Х4) і частки трудомісткої тваринницької продукції в загальному обсязі виробництва (Х5) призводить до збільшення результативної ознаки відповідно на 0,015; 0,176; 0,013 і 0,020. Ріст показника землезабезпеченості</w:t>
      </w:r>
      <w:r>
        <w:rPr>
          <w:lang w:val="uk-UA"/>
        </w:rPr>
        <w:t xml:space="preserve"> т</w:t>
      </w:r>
      <w:r>
        <w:t>акож сприяє збільшенню кількості зайнятого населення і свідчить про екстенсивний спосіб використання наявного ресурсного потенціалу. Водночас підвищення продуктивності праці спричиняє зниження рівня зайнятості в аграрних підприємствах. Тобто, на рівень сільськогосподарської зайнятості факторні ознаки Х1, Х2, Х4, Х5, Х6 мають прямий вплив, а Х3 – зворотній.</w:t>
      </w:r>
    </w:p>
    <w:p w:rsidR="00F911C4" w:rsidRDefault="00F911C4" w:rsidP="00F911C4">
      <w:pPr>
        <w:pStyle w:val="a3"/>
        <w:spacing w:line="216" w:lineRule="auto"/>
        <w:ind w:right="306" w:firstLine="396"/>
      </w:pPr>
      <w:r>
        <w:t>За допомогою коефіцієнта множинної кореляції можна визначити загальний вплив введених у кореляційно-регресійну модель факторів за формулою [1, с. 23]:</w:t>
      </w:r>
    </w:p>
    <w:p w:rsidR="00F911C4" w:rsidRDefault="00F911C4" w:rsidP="00F911C4">
      <w:pPr>
        <w:pStyle w:val="a3"/>
        <w:spacing w:line="221" w:lineRule="exact"/>
        <w:ind w:left="1437"/>
        <w:jc w:val="left"/>
      </w:pPr>
      <w:r>
        <w:t>Rу Х3, Х4, Х9, Х12, Х13, Х16 = √σ² теор / σ² заг .</w:t>
      </w:r>
    </w:p>
    <w:p w:rsidR="00F911C4" w:rsidRDefault="00F911C4" w:rsidP="00F911C4">
      <w:pPr>
        <w:pStyle w:val="a3"/>
        <w:spacing w:before="8" w:line="216" w:lineRule="auto"/>
        <w:ind w:right="310" w:firstLine="396"/>
      </w:pPr>
      <w:r>
        <w:t>У нашому випадку він складає R = 0,873, що свідчить про включення у множинну регресію важливих факторів, що безпосередньо впливають на використання трудових ресурсів аграрних підприємств.</w:t>
      </w:r>
    </w:p>
    <w:p w:rsidR="00F911C4" w:rsidRDefault="00F911C4" w:rsidP="00F911C4">
      <w:pPr>
        <w:pStyle w:val="a3"/>
        <w:spacing w:line="216" w:lineRule="auto"/>
        <w:ind w:right="308" w:firstLine="396"/>
      </w:pPr>
      <w:r>
        <w:t>При аналізі кореляційно-регресійної моделі також важливо визначити, якою мірою зміна рівня сільськогосподарської зайнятості зумовлена дією відібраних факторів. Ця величина визначається коефіцієнтом загальної детермінації:</w:t>
      </w:r>
    </w:p>
    <w:p w:rsidR="00F911C4" w:rsidRDefault="00F911C4" w:rsidP="00F911C4">
      <w:pPr>
        <w:pStyle w:val="a3"/>
        <w:spacing w:line="221" w:lineRule="exact"/>
        <w:ind w:left="2033"/>
        <w:jc w:val="left"/>
      </w:pPr>
      <w:r>
        <w:t>Д = R² у Х3, Х4, Х9, Х12, Х13, Х16 ,</w:t>
      </w:r>
    </w:p>
    <w:p w:rsidR="00F911C4" w:rsidRDefault="00F911C4" w:rsidP="00F911C4">
      <w:pPr>
        <w:pStyle w:val="a3"/>
        <w:spacing w:line="228" w:lineRule="exact"/>
        <w:jc w:val="left"/>
      </w:pPr>
      <w:r>
        <w:t>що становить Д =</w:t>
      </w:r>
      <w:r>
        <w:rPr>
          <w:spacing w:val="52"/>
        </w:rPr>
        <w:t xml:space="preserve"> </w:t>
      </w:r>
      <w:r>
        <w:t>0,762.</w:t>
      </w:r>
    </w:p>
    <w:p w:rsidR="00F911C4" w:rsidRDefault="00F911C4" w:rsidP="00F911C4">
      <w:pPr>
        <w:pStyle w:val="a3"/>
        <w:spacing w:before="8" w:line="216" w:lineRule="auto"/>
        <w:ind w:right="310" w:firstLine="396"/>
      </w:pPr>
      <w:r>
        <w:t>На основі цього показника можна стверджувати, що зміна рівня сільськогосподарської зайнятості на 76,2 % зумовлена варіацією відібраних факторів, а 23,8 % варіацій у рівні зайнятості обумовлено дією інших факторів, що не ввійшли у коло досліджень.</w:t>
      </w:r>
    </w:p>
    <w:p w:rsidR="00F911C4" w:rsidRDefault="00F911C4" w:rsidP="00F911C4">
      <w:pPr>
        <w:pStyle w:val="a3"/>
        <w:spacing w:line="216" w:lineRule="auto"/>
        <w:ind w:right="305" w:firstLine="396"/>
      </w:pPr>
      <w:r>
        <w:t xml:space="preserve">Таким чином, на базі </w:t>
      </w:r>
      <w:r>
        <w:rPr>
          <w:spacing w:val="-3"/>
        </w:rPr>
        <w:t xml:space="preserve">комплексного </w:t>
      </w:r>
      <w:r>
        <w:t xml:space="preserve">аналізу даних факторів досліджується проблема сільської зайнятості і поточний стан регіонального ринку праці. Виявлені тенденції в динаміці зайнятості </w:t>
      </w:r>
      <w:r>
        <w:rPr>
          <w:spacing w:val="-3"/>
        </w:rPr>
        <w:t xml:space="preserve">сільського </w:t>
      </w:r>
      <w:r>
        <w:t xml:space="preserve">населення дозволили ранжувати фактори </w:t>
      </w:r>
      <w:r>
        <w:rPr>
          <w:spacing w:val="-3"/>
        </w:rPr>
        <w:t xml:space="preserve">впливу </w:t>
      </w:r>
      <w:r>
        <w:t xml:space="preserve">на попит і на пропозицію робочої сили, а </w:t>
      </w:r>
      <w:r>
        <w:rPr>
          <w:spacing w:val="-4"/>
        </w:rPr>
        <w:t xml:space="preserve">також </w:t>
      </w:r>
      <w:r>
        <w:t xml:space="preserve">на формування </w:t>
      </w:r>
      <w:r>
        <w:rPr>
          <w:spacing w:val="-3"/>
        </w:rPr>
        <w:t xml:space="preserve">сільського </w:t>
      </w:r>
      <w:r>
        <w:t xml:space="preserve">ринку праці. На наш </w:t>
      </w:r>
      <w:r>
        <w:rPr>
          <w:spacing w:val="-3"/>
        </w:rPr>
        <w:t xml:space="preserve">погляд, </w:t>
      </w:r>
      <w:r>
        <w:t xml:space="preserve">застосування наведеної методики моделювання очікуваного рівня зайнятості на сільському ринку праці дає можливість здійснити кількісну та якісну оцінку показників, які впливають на </w:t>
      </w:r>
      <w:r>
        <w:rPr>
          <w:spacing w:val="-3"/>
        </w:rPr>
        <w:t xml:space="preserve">результативний </w:t>
      </w:r>
      <w:r>
        <w:t xml:space="preserve">показник. </w:t>
      </w:r>
      <w:r>
        <w:rPr>
          <w:spacing w:val="-3"/>
        </w:rPr>
        <w:t xml:space="preserve">Водночас </w:t>
      </w:r>
      <w:r>
        <w:t xml:space="preserve">вважаємо, що потрібен </w:t>
      </w:r>
      <w:r>
        <w:rPr>
          <w:spacing w:val="-3"/>
        </w:rPr>
        <w:t xml:space="preserve">компроміс </w:t>
      </w:r>
      <w:r>
        <w:t xml:space="preserve">між складністю моделі і можливістю її реалізації для практичного застосування. Адже </w:t>
      </w:r>
      <w:r>
        <w:rPr>
          <w:spacing w:val="-3"/>
        </w:rPr>
        <w:t xml:space="preserve">значення </w:t>
      </w:r>
      <w:r>
        <w:t xml:space="preserve">моделі у вивченні </w:t>
      </w:r>
      <w:r>
        <w:rPr>
          <w:spacing w:val="-3"/>
        </w:rPr>
        <w:t xml:space="preserve">навколишнього </w:t>
      </w:r>
      <w:r>
        <w:t xml:space="preserve">світу полягає в </w:t>
      </w:r>
      <w:r>
        <w:rPr>
          <w:spacing w:val="-7"/>
        </w:rPr>
        <w:t xml:space="preserve">тому, </w:t>
      </w:r>
      <w:r>
        <w:t xml:space="preserve">що вона повинна </w:t>
      </w:r>
      <w:r>
        <w:rPr>
          <w:spacing w:val="-3"/>
        </w:rPr>
        <w:t xml:space="preserve">бути </w:t>
      </w:r>
      <w:r>
        <w:t xml:space="preserve">проміжною </w:t>
      </w:r>
      <w:r>
        <w:rPr>
          <w:spacing w:val="-3"/>
        </w:rPr>
        <w:t xml:space="preserve">ланкою </w:t>
      </w:r>
      <w:r>
        <w:t xml:space="preserve">між теорією і дійсністю, </w:t>
      </w:r>
      <w:r>
        <w:rPr>
          <w:spacing w:val="-3"/>
        </w:rPr>
        <w:t xml:space="preserve">схематично </w:t>
      </w:r>
      <w:r>
        <w:t xml:space="preserve">спрощуючи останню. </w:t>
      </w:r>
      <w:r>
        <w:rPr>
          <w:spacing w:val="-3"/>
        </w:rPr>
        <w:t xml:space="preserve">Особливу </w:t>
      </w:r>
      <w:r>
        <w:t xml:space="preserve">увагу слід приділити, насамперед, якісним характеристикам сільського ринку праці, оскільки від своєчасних активних позицій на ринку праці залежить ефективна зайнятість населення села, зниження рівня відкритого і, особливо, </w:t>
      </w:r>
      <w:r>
        <w:rPr>
          <w:spacing w:val="-3"/>
        </w:rPr>
        <w:t xml:space="preserve">прихованого </w:t>
      </w:r>
      <w:r>
        <w:t xml:space="preserve">безробіття, нормалізація </w:t>
      </w:r>
      <w:r>
        <w:rPr>
          <w:spacing w:val="-3"/>
        </w:rPr>
        <w:t xml:space="preserve">сільського </w:t>
      </w:r>
      <w:r>
        <w:t xml:space="preserve">відтворювального циклу населення і робочої сили, процеси стабілізації та </w:t>
      </w:r>
      <w:r>
        <w:rPr>
          <w:spacing w:val="-3"/>
        </w:rPr>
        <w:t>економічного</w:t>
      </w:r>
      <w:r>
        <w:rPr>
          <w:spacing w:val="3"/>
        </w:rPr>
        <w:t xml:space="preserve"> </w:t>
      </w:r>
      <w:r>
        <w:t>зростання.</w:t>
      </w: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</w:pPr>
    </w:p>
    <w:p w:rsidR="00F911C4" w:rsidRDefault="00F911C4" w:rsidP="00F911C4">
      <w:pPr>
        <w:pStyle w:val="a3"/>
        <w:spacing w:line="216" w:lineRule="auto"/>
        <w:ind w:right="305" w:firstLine="396"/>
        <w:jc w:val="center"/>
      </w:pPr>
    </w:p>
    <w:p w:rsidR="00F911C4" w:rsidRDefault="00F911C4" w:rsidP="00F911C4">
      <w:pPr>
        <w:pStyle w:val="a3"/>
        <w:spacing w:line="216" w:lineRule="auto"/>
        <w:ind w:right="305" w:firstLine="396"/>
        <w:jc w:val="center"/>
      </w:pPr>
      <w:r>
        <w:lastRenderedPageBreak/>
        <w:t>Список використаної літератури</w:t>
      </w:r>
    </w:p>
    <w:p w:rsidR="00F911C4" w:rsidRDefault="00F911C4" w:rsidP="00F911C4">
      <w:pPr>
        <w:pStyle w:val="a5"/>
        <w:numPr>
          <w:ilvl w:val="0"/>
          <w:numId w:val="2"/>
        </w:numPr>
        <w:tabs>
          <w:tab w:val="left" w:pos="533"/>
        </w:tabs>
        <w:spacing w:before="5" w:line="216" w:lineRule="auto"/>
        <w:ind w:right="310" w:firstLine="0"/>
      </w:pPr>
      <w:r>
        <w:t xml:space="preserve">Васильєв О.М. Математичний аналіз </w:t>
      </w:r>
      <w:r>
        <w:rPr>
          <w:spacing w:val="-3"/>
        </w:rPr>
        <w:t xml:space="preserve">економічних </w:t>
      </w:r>
      <w:r>
        <w:t xml:space="preserve">моделей: </w:t>
      </w:r>
      <w:r>
        <w:rPr>
          <w:spacing w:val="-3"/>
        </w:rPr>
        <w:t xml:space="preserve">Модель </w:t>
      </w:r>
      <w:r>
        <w:t xml:space="preserve">самоорганізації ринку праці / О.М. Васильєв // </w:t>
      </w:r>
      <w:r>
        <w:rPr>
          <w:spacing w:val="-3"/>
        </w:rPr>
        <w:t xml:space="preserve">Економіка </w:t>
      </w:r>
      <w:r>
        <w:t xml:space="preserve">і математичні методи, 2001. – </w:t>
      </w:r>
      <w:r>
        <w:rPr>
          <w:spacing w:val="-10"/>
        </w:rPr>
        <w:t xml:space="preserve">Т. </w:t>
      </w:r>
      <w:r>
        <w:t>37. – № 2. – С.</w:t>
      </w:r>
      <w:r>
        <w:rPr>
          <w:spacing w:val="-4"/>
        </w:rPr>
        <w:t xml:space="preserve"> </w:t>
      </w:r>
      <w:r>
        <w:t>123.</w:t>
      </w:r>
    </w:p>
    <w:p w:rsidR="00F911C4" w:rsidRDefault="00F911C4" w:rsidP="00F911C4">
      <w:pPr>
        <w:pStyle w:val="a5"/>
        <w:numPr>
          <w:ilvl w:val="0"/>
          <w:numId w:val="2"/>
        </w:numPr>
        <w:tabs>
          <w:tab w:val="left" w:pos="636"/>
        </w:tabs>
        <w:spacing w:before="2" w:line="216" w:lineRule="auto"/>
        <w:ind w:right="303" w:firstLine="0"/>
      </w:pPr>
      <w:r>
        <w:rPr>
          <w:spacing w:val="-5"/>
        </w:rPr>
        <w:t xml:space="preserve">Кулініч </w:t>
      </w:r>
      <w:r>
        <w:rPr>
          <w:spacing w:val="-8"/>
        </w:rPr>
        <w:t xml:space="preserve">Р.О. </w:t>
      </w:r>
      <w:r>
        <w:t xml:space="preserve">Статистична оцінка чинників соціально- </w:t>
      </w:r>
      <w:r>
        <w:rPr>
          <w:spacing w:val="-3"/>
        </w:rPr>
        <w:t xml:space="preserve">економічного </w:t>
      </w:r>
      <w:r>
        <w:t xml:space="preserve">розвитку: монографія / </w:t>
      </w:r>
      <w:r>
        <w:rPr>
          <w:spacing w:val="-8"/>
        </w:rPr>
        <w:t xml:space="preserve">Р.О. </w:t>
      </w:r>
      <w:r>
        <w:rPr>
          <w:spacing w:val="-5"/>
        </w:rPr>
        <w:t xml:space="preserve">Кулініч. </w:t>
      </w:r>
      <w:r>
        <w:t xml:space="preserve">– К.: Знання, 2007. – </w:t>
      </w:r>
      <w:r>
        <w:rPr>
          <w:spacing w:val="-4"/>
        </w:rPr>
        <w:t>311</w:t>
      </w:r>
      <w:r>
        <w:t xml:space="preserve"> с.</w:t>
      </w:r>
    </w:p>
    <w:p w:rsidR="00F911C4" w:rsidRDefault="00F911C4" w:rsidP="00F911C4">
      <w:pPr>
        <w:pStyle w:val="a5"/>
        <w:numPr>
          <w:ilvl w:val="0"/>
          <w:numId w:val="2"/>
        </w:numPr>
        <w:tabs>
          <w:tab w:val="left" w:pos="545"/>
        </w:tabs>
        <w:spacing w:line="216" w:lineRule="auto"/>
        <w:ind w:right="305" w:firstLine="0"/>
      </w:pPr>
      <w:r>
        <w:t xml:space="preserve">Моделювання економічних процесів: Навчальний посібник/ П.І.Островський, О.М.Гострик, </w:t>
      </w:r>
      <w:r>
        <w:rPr>
          <w:spacing w:val="-3"/>
        </w:rPr>
        <w:t xml:space="preserve">Т.П.Добрунік, </w:t>
      </w:r>
      <w:r>
        <w:t xml:space="preserve">О.В. Радова.  – Одеса: </w:t>
      </w:r>
      <w:r>
        <w:rPr>
          <w:spacing w:val="-9"/>
        </w:rPr>
        <w:t xml:space="preserve">ОНЕУ, </w:t>
      </w:r>
      <w:r>
        <w:t>2012. - 132</w:t>
      </w:r>
      <w:r>
        <w:rPr>
          <w:spacing w:val="6"/>
        </w:rPr>
        <w:t xml:space="preserve"> </w:t>
      </w:r>
      <w:r>
        <w:t>с.</w:t>
      </w:r>
    </w:p>
    <w:p w:rsidR="00F911C4" w:rsidRDefault="00F911C4" w:rsidP="00F911C4">
      <w:pPr>
        <w:pStyle w:val="a5"/>
        <w:numPr>
          <w:ilvl w:val="0"/>
          <w:numId w:val="2"/>
        </w:numPr>
        <w:tabs>
          <w:tab w:val="left" w:pos="437"/>
        </w:tabs>
        <w:spacing w:line="216" w:lineRule="auto"/>
        <w:ind w:right="305" w:firstLine="0"/>
      </w:pPr>
      <w:r>
        <w:t xml:space="preserve">Перебийніс В. І. </w:t>
      </w:r>
      <w:r>
        <w:rPr>
          <w:spacing w:val="-3"/>
        </w:rPr>
        <w:t xml:space="preserve">Управління </w:t>
      </w:r>
      <w:r>
        <w:t xml:space="preserve">використанням </w:t>
      </w:r>
      <w:r>
        <w:rPr>
          <w:spacing w:val="-3"/>
        </w:rPr>
        <w:t xml:space="preserve">трудових </w:t>
      </w:r>
      <w:r>
        <w:t xml:space="preserve">ресурсів на підприємствах: монографія / В. І. Перебийніс, </w:t>
      </w:r>
      <w:r>
        <w:rPr>
          <w:spacing w:val="-10"/>
        </w:rPr>
        <w:t xml:space="preserve">Т. </w:t>
      </w:r>
      <w:r>
        <w:t xml:space="preserve">П. Житник. – Полтава : РВЦ </w:t>
      </w:r>
      <w:r>
        <w:rPr>
          <w:spacing w:val="-8"/>
        </w:rPr>
        <w:t xml:space="preserve">ПУСКУ, </w:t>
      </w:r>
      <w:r>
        <w:t>2008. – 332</w:t>
      </w:r>
      <w:r>
        <w:rPr>
          <w:spacing w:val="6"/>
        </w:rPr>
        <w:t xml:space="preserve"> </w:t>
      </w:r>
      <w:r>
        <w:t>с.</w:t>
      </w:r>
    </w:p>
    <w:p w:rsidR="00F911C4" w:rsidRDefault="00F911C4" w:rsidP="00F911C4">
      <w:pPr>
        <w:pStyle w:val="a5"/>
        <w:numPr>
          <w:ilvl w:val="0"/>
          <w:numId w:val="2"/>
        </w:numPr>
        <w:tabs>
          <w:tab w:val="left" w:pos="475"/>
        </w:tabs>
        <w:spacing w:line="216" w:lineRule="auto"/>
        <w:ind w:right="306" w:firstLine="0"/>
      </w:pPr>
      <w:r>
        <w:t xml:space="preserve">Эконометрика. Начальный курс: учебник / Я. </w:t>
      </w:r>
      <w:r>
        <w:rPr>
          <w:spacing w:val="-14"/>
        </w:rPr>
        <w:t xml:space="preserve">Р. </w:t>
      </w:r>
      <w:r>
        <w:t>Магнус, П. К. Катышев, А. А. Пересецкий. Изд. 6-е, перераб. и доп. – М.: Дело, 2004. – 576 с.</w:t>
      </w:r>
    </w:p>
    <w:p w:rsidR="005608F4" w:rsidRPr="00F911C4" w:rsidRDefault="005608F4" w:rsidP="00F911C4"/>
    <w:sectPr w:rsidR="005608F4" w:rsidRPr="00F911C4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A" w:rsidRDefault="00FF4D7A">
      <w:r>
        <w:separator/>
      </w:r>
    </w:p>
  </w:endnote>
  <w:endnote w:type="continuationSeparator" w:id="0">
    <w:p w:rsidR="00FF4D7A" w:rsidRDefault="00F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A" w:rsidRDefault="00FF4D7A">
      <w:r>
        <w:separator/>
      </w:r>
    </w:p>
  </w:footnote>
  <w:footnote w:type="continuationSeparator" w:id="0">
    <w:p w:rsidR="00FF4D7A" w:rsidRDefault="00FF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3749"/>
    <w:multiLevelType w:val="hybridMultilevel"/>
    <w:tmpl w:val="7A84A8D0"/>
    <w:lvl w:ilvl="0" w:tplc="CDE8C5DA">
      <w:start w:val="1"/>
      <w:numFmt w:val="decimal"/>
      <w:lvlText w:val="%1."/>
      <w:lvlJc w:val="left"/>
      <w:pPr>
        <w:ind w:left="213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652E8C2">
      <w:numFmt w:val="bullet"/>
      <w:lvlText w:val="•"/>
      <w:lvlJc w:val="left"/>
      <w:pPr>
        <w:ind w:left="891" w:hanging="320"/>
      </w:pPr>
      <w:rPr>
        <w:rFonts w:hint="default"/>
        <w:lang w:val="uk" w:eastAsia="uk" w:bidi="uk"/>
      </w:rPr>
    </w:lvl>
    <w:lvl w:ilvl="2" w:tplc="1B9EDA8A">
      <w:numFmt w:val="bullet"/>
      <w:lvlText w:val="•"/>
      <w:lvlJc w:val="left"/>
      <w:pPr>
        <w:ind w:left="1562" w:hanging="320"/>
      </w:pPr>
      <w:rPr>
        <w:rFonts w:hint="default"/>
        <w:lang w:val="uk" w:eastAsia="uk" w:bidi="uk"/>
      </w:rPr>
    </w:lvl>
    <w:lvl w:ilvl="3" w:tplc="66AA1086">
      <w:numFmt w:val="bullet"/>
      <w:lvlText w:val="•"/>
      <w:lvlJc w:val="left"/>
      <w:pPr>
        <w:ind w:left="2233" w:hanging="320"/>
      </w:pPr>
      <w:rPr>
        <w:rFonts w:hint="default"/>
        <w:lang w:val="uk" w:eastAsia="uk" w:bidi="uk"/>
      </w:rPr>
    </w:lvl>
    <w:lvl w:ilvl="4" w:tplc="2E8060A0">
      <w:numFmt w:val="bullet"/>
      <w:lvlText w:val="•"/>
      <w:lvlJc w:val="left"/>
      <w:pPr>
        <w:ind w:left="2905" w:hanging="320"/>
      </w:pPr>
      <w:rPr>
        <w:rFonts w:hint="default"/>
        <w:lang w:val="uk" w:eastAsia="uk" w:bidi="uk"/>
      </w:rPr>
    </w:lvl>
    <w:lvl w:ilvl="5" w:tplc="49CC7166">
      <w:numFmt w:val="bullet"/>
      <w:lvlText w:val="•"/>
      <w:lvlJc w:val="left"/>
      <w:pPr>
        <w:ind w:left="3576" w:hanging="320"/>
      </w:pPr>
      <w:rPr>
        <w:rFonts w:hint="default"/>
        <w:lang w:val="uk" w:eastAsia="uk" w:bidi="uk"/>
      </w:rPr>
    </w:lvl>
    <w:lvl w:ilvl="6" w:tplc="CA9EB0B2">
      <w:numFmt w:val="bullet"/>
      <w:lvlText w:val="•"/>
      <w:lvlJc w:val="left"/>
      <w:pPr>
        <w:ind w:left="4247" w:hanging="320"/>
      </w:pPr>
      <w:rPr>
        <w:rFonts w:hint="default"/>
        <w:lang w:val="uk" w:eastAsia="uk" w:bidi="uk"/>
      </w:rPr>
    </w:lvl>
    <w:lvl w:ilvl="7" w:tplc="455E7C2C">
      <w:numFmt w:val="bullet"/>
      <w:lvlText w:val="•"/>
      <w:lvlJc w:val="left"/>
      <w:pPr>
        <w:ind w:left="4918" w:hanging="320"/>
      </w:pPr>
      <w:rPr>
        <w:rFonts w:hint="default"/>
        <w:lang w:val="uk" w:eastAsia="uk" w:bidi="uk"/>
      </w:rPr>
    </w:lvl>
    <w:lvl w:ilvl="8" w:tplc="0D40AA96">
      <w:numFmt w:val="bullet"/>
      <w:lvlText w:val="•"/>
      <w:lvlJc w:val="left"/>
      <w:pPr>
        <w:ind w:left="5590" w:hanging="320"/>
      </w:pPr>
      <w:rPr>
        <w:rFonts w:hint="default"/>
        <w:lang w:val="uk" w:eastAsia="uk" w:bidi="uk"/>
      </w:rPr>
    </w:lvl>
  </w:abstractNum>
  <w:abstractNum w:abstractNumId="1">
    <w:nsid w:val="4847026C"/>
    <w:multiLevelType w:val="hybridMultilevel"/>
    <w:tmpl w:val="4F2CCD9E"/>
    <w:lvl w:ilvl="0" w:tplc="B84A7498">
      <w:start w:val="1"/>
      <w:numFmt w:val="decimal"/>
      <w:lvlText w:val="%1."/>
      <w:lvlJc w:val="left"/>
      <w:pPr>
        <w:ind w:left="2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F94549E">
      <w:numFmt w:val="bullet"/>
      <w:lvlText w:val="•"/>
      <w:lvlJc w:val="left"/>
      <w:pPr>
        <w:ind w:left="891" w:hanging="284"/>
      </w:pPr>
      <w:rPr>
        <w:rFonts w:hint="default"/>
        <w:lang w:val="uk" w:eastAsia="uk" w:bidi="uk"/>
      </w:rPr>
    </w:lvl>
    <w:lvl w:ilvl="2" w:tplc="A9209FD8">
      <w:numFmt w:val="bullet"/>
      <w:lvlText w:val="•"/>
      <w:lvlJc w:val="left"/>
      <w:pPr>
        <w:ind w:left="1562" w:hanging="284"/>
      </w:pPr>
      <w:rPr>
        <w:rFonts w:hint="default"/>
        <w:lang w:val="uk" w:eastAsia="uk" w:bidi="uk"/>
      </w:rPr>
    </w:lvl>
    <w:lvl w:ilvl="3" w:tplc="A1C69DB0">
      <w:numFmt w:val="bullet"/>
      <w:lvlText w:val="•"/>
      <w:lvlJc w:val="left"/>
      <w:pPr>
        <w:ind w:left="2233" w:hanging="284"/>
      </w:pPr>
      <w:rPr>
        <w:rFonts w:hint="default"/>
        <w:lang w:val="uk" w:eastAsia="uk" w:bidi="uk"/>
      </w:rPr>
    </w:lvl>
    <w:lvl w:ilvl="4" w:tplc="0E427D0E">
      <w:numFmt w:val="bullet"/>
      <w:lvlText w:val="•"/>
      <w:lvlJc w:val="left"/>
      <w:pPr>
        <w:ind w:left="2905" w:hanging="284"/>
      </w:pPr>
      <w:rPr>
        <w:rFonts w:hint="default"/>
        <w:lang w:val="uk" w:eastAsia="uk" w:bidi="uk"/>
      </w:rPr>
    </w:lvl>
    <w:lvl w:ilvl="5" w:tplc="0D7CB130">
      <w:numFmt w:val="bullet"/>
      <w:lvlText w:val="•"/>
      <w:lvlJc w:val="left"/>
      <w:pPr>
        <w:ind w:left="3576" w:hanging="284"/>
      </w:pPr>
      <w:rPr>
        <w:rFonts w:hint="default"/>
        <w:lang w:val="uk" w:eastAsia="uk" w:bidi="uk"/>
      </w:rPr>
    </w:lvl>
    <w:lvl w:ilvl="6" w:tplc="22742448">
      <w:numFmt w:val="bullet"/>
      <w:lvlText w:val="•"/>
      <w:lvlJc w:val="left"/>
      <w:pPr>
        <w:ind w:left="4247" w:hanging="284"/>
      </w:pPr>
      <w:rPr>
        <w:rFonts w:hint="default"/>
        <w:lang w:val="uk" w:eastAsia="uk" w:bidi="uk"/>
      </w:rPr>
    </w:lvl>
    <w:lvl w:ilvl="7" w:tplc="377A9B9A">
      <w:numFmt w:val="bullet"/>
      <w:lvlText w:val="•"/>
      <w:lvlJc w:val="left"/>
      <w:pPr>
        <w:ind w:left="4918" w:hanging="284"/>
      </w:pPr>
      <w:rPr>
        <w:rFonts w:hint="default"/>
        <w:lang w:val="uk" w:eastAsia="uk" w:bidi="uk"/>
      </w:rPr>
    </w:lvl>
    <w:lvl w:ilvl="8" w:tplc="D6F4ED82">
      <w:numFmt w:val="bullet"/>
      <w:lvlText w:val="•"/>
      <w:lvlJc w:val="left"/>
      <w:pPr>
        <w:ind w:left="5590" w:hanging="284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63F00"/>
    <w:rsid w:val="000B41F2"/>
    <w:rsid w:val="00127318"/>
    <w:rsid w:val="00156E42"/>
    <w:rsid w:val="00215C4C"/>
    <w:rsid w:val="00362FE2"/>
    <w:rsid w:val="003A10F0"/>
    <w:rsid w:val="003E4744"/>
    <w:rsid w:val="0047131A"/>
    <w:rsid w:val="004C3EAE"/>
    <w:rsid w:val="004F4000"/>
    <w:rsid w:val="00547539"/>
    <w:rsid w:val="00547AE1"/>
    <w:rsid w:val="005608F4"/>
    <w:rsid w:val="005A1F20"/>
    <w:rsid w:val="005D799F"/>
    <w:rsid w:val="005F6EB2"/>
    <w:rsid w:val="007E44B4"/>
    <w:rsid w:val="0083378A"/>
    <w:rsid w:val="00834156"/>
    <w:rsid w:val="008A1568"/>
    <w:rsid w:val="00903B79"/>
    <w:rsid w:val="00937954"/>
    <w:rsid w:val="0094167B"/>
    <w:rsid w:val="00957786"/>
    <w:rsid w:val="00995FC6"/>
    <w:rsid w:val="009C104B"/>
    <w:rsid w:val="00A12C0D"/>
    <w:rsid w:val="00A34971"/>
    <w:rsid w:val="00A53C75"/>
    <w:rsid w:val="00AA3C14"/>
    <w:rsid w:val="00BB09A9"/>
    <w:rsid w:val="00BB79A9"/>
    <w:rsid w:val="00BE3D5C"/>
    <w:rsid w:val="00CA693E"/>
    <w:rsid w:val="00CF1754"/>
    <w:rsid w:val="00CF2069"/>
    <w:rsid w:val="00DB0369"/>
    <w:rsid w:val="00DB4F85"/>
    <w:rsid w:val="00E420E8"/>
    <w:rsid w:val="00E55A08"/>
    <w:rsid w:val="00EA206C"/>
    <w:rsid w:val="00F43DD8"/>
    <w:rsid w:val="00F711D7"/>
    <w:rsid w:val="00F911C4"/>
    <w:rsid w:val="00FC55E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1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2">
    <w:name w:val="heading 2"/>
    <w:basedOn w:val="a"/>
    <w:link w:val="20"/>
    <w:uiPriority w:val="1"/>
    <w:qFormat/>
    <w:rsid w:val="00F911C4"/>
    <w:pPr>
      <w:ind w:left="19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</w:style>
  <w:style w:type="character" w:customStyle="1" w:styleId="20">
    <w:name w:val="Заголовок 2 Знак"/>
    <w:basedOn w:val="a0"/>
    <w:link w:val="2"/>
    <w:uiPriority w:val="1"/>
    <w:rsid w:val="00F911C4"/>
    <w:rPr>
      <w:rFonts w:ascii="Times New Roman" w:eastAsia="Times New Roman" w:hAnsi="Times New Roman" w:cs="Times New Roman"/>
      <w:b/>
      <w:bCs/>
      <w:lang w:val="uk" w:eastAsia="uk"/>
    </w:rPr>
  </w:style>
  <w:style w:type="paragraph" w:styleId="a3">
    <w:name w:val="Body Text"/>
    <w:basedOn w:val="a"/>
    <w:link w:val="a4"/>
    <w:uiPriority w:val="1"/>
    <w:qFormat/>
    <w:rsid w:val="00F911C4"/>
    <w:pPr>
      <w:ind w:left="21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911C4"/>
    <w:rPr>
      <w:rFonts w:ascii="Times New Roman" w:eastAsia="Times New Roman" w:hAnsi="Times New Roman" w:cs="Times New Roman"/>
      <w:lang w:val="uk" w:eastAsia="uk"/>
    </w:rPr>
  </w:style>
  <w:style w:type="paragraph" w:styleId="a5">
    <w:name w:val="List Paragraph"/>
    <w:basedOn w:val="a"/>
    <w:uiPriority w:val="1"/>
    <w:qFormat/>
    <w:rsid w:val="00F911C4"/>
    <w:pPr>
      <w:ind w:left="2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1990</Words>
  <Characters>11344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2018-05-15T07:37:00Z</dcterms:created>
  <dcterms:modified xsi:type="dcterms:W3CDTF">2018-05-20T14:34:00Z</dcterms:modified>
</cp:coreProperties>
</file>