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7173F" w14:textId="77777777" w:rsidR="008E6492" w:rsidRPr="008E6492" w:rsidRDefault="008E6492" w:rsidP="008E6492">
      <w:pPr>
        <w:spacing w:after="0" w:line="247" w:lineRule="auto"/>
        <w:ind w:right="2480"/>
        <w:rPr>
          <w:rFonts w:ascii="Arial" w:eastAsia="Arial" w:hAnsi="Arial" w:cs="Arial"/>
          <w:i/>
          <w:sz w:val="19"/>
          <w:szCs w:val="20"/>
          <w:lang w:eastAsia="ru-RU"/>
        </w:rPr>
      </w:pPr>
      <w:r w:rsidRPr="008E6492">
        <w:rPr>
          <w:rFonts w:ascii="Arial" w:eastAsia="Arial" w:hAnsi="Arial" w:cs="Arial"/>
          <w:b/>
          <w:i/>
          <w:sz w:val="19"/>
          <w:szCs w:val="20"/>
          <w:lang w:eastAsia="ru-RU"/>
        </w:rPr>
        <w:t xml:space="preserve">В. В. Мандра, </w:t>
      </w:r>
      <w:r w:rsidRPr="008E6492">
        <w:rPr>
          <w:rFonts w:ascii="Arial" w:eastAsia="Arial" w:hAnsi="Arial" w:cs="Arial"/>
          <w:i/>
          <w:sz w:val="19"/>
          <w:szCs w:val="20"/>
          <w:lang w:eastAsia="ru-RU"/>
        </w:rPr>
        <w:t>к.</w:t>
      </w:r>
      <w:r w:rsidRPr="008E6492">
        <w:rPr>
          <w:rFonts w:ascii="Arial" w:eastAsia="Arial" w:hAnsi="Arial" w:cs="Arial"/>
          <w:b/>
          <w:i/>
          <w:sz w:val="19"/>
          <w:szCs w:val="20"/>
          <w:lang w:eastAsia="ru-RU"/>
        </w:rPr>
        <w:t xml:space="preserve"> </w:t>
      </w:r>
      <w:r w:rsidRPr="008E6492">
        <w:rPr>
          <w:rFonts w:ascii="Arial" w:eastAsia="Arial" w:hAnsi="Arial" w:cs="Arial"/>
          <w:i/>
          <w:sz w:val="19"/>
          <w:szCs w:val="20"/>
          <w:lang w:eastAsia="ru-RU"/>
        </w:rPr>
        <w:t>е.</w:t>
      </w:r>
      <w:r w:rsidRPr="008E6492">
        <w:rPr>
          <w:rFonts w:ascii="Arial" w:eastAsia="Arial" w:hAnsi="Arial" w:cs="Arial"/>
          <w:b/>
          <w:i/>
          <w:sz w:val="19"/>
          <w:szCs w:val="20"/>
          <w:lang w:eastAsia="ru-RU"/>
        </w:rPr>
        <w:t xml:space="preserve"> </w:t>
      </w:r>
      <w:r w:rsidRPr="008E6492">
        <w:rPr>
          <w:rFonts w:ascii="Arial" w:eastAsia="Arial" w:hAnsi="Arial" w:cs="Arial"/>
          <w:i/>
          <w:sz w:val="19"/>
          <w:szCs w:val="20"/>
          <w:lang w:eastAsia="ru-RU"/>
        </w:rPr>
        <w:t>н.,</w:t>
      </w:r>
      <w:r w:rsidRPr="008E6492">
        <w:rPr>
          <w:rFonts w:ascii="Arial" w:eastAsia="Arial" w:hAnsi="Arial" w:cs="Arial"/>
          <w:b/>
          <w:i/>
          <w:sz w:val="19"/>
          <w:szCs w:val="20"/>
          <w:lang w:eastAsia="ru-RU"/>
        </w:rPr>
        <w:t xml:space="preserve"> </w:t>
      </w:r>
      <w:r w:rsidRPr="008E6492">
        <w:rPr>
          <w:rFonts w:ascii="Arial" w:eastAsia="Arial" w:hAnsi="Arial" w:cs="Arial"/>
          <w:i/>
          <w:sz w:val="19"/>
          <w:szCs w:val="20"/>
          <w:lang w:eastAsia="ru-RU"/>
        </w:rPr>
        <w:t>докторант</w:t>
      </w:r>
      <w:r w:rsidRPr="008E6492">
        <w:rPr>
          <w:rFonts w:ascii="Arial" w:eastAsia="Arial" w:hAnsi="Arial" w:cs="Arial"/>
          <w:b/>
          <w:i/>
          <w:sz w:val="19"/>
          <w:szCs w:val="20"/>
          <w:lang w:eastAsia="ru-RU"/>
        </w:rPr>
        <w:t xml:space="preserve"> </w:t>
      </w:r>
      <w:r w:rsidRPr="008E6492">
        <w:rPr>
          <w:rFonts w:ascii="Arial" w:eastAsia="Arial" w:hAnsi="Arial" w:cs="Arial"/>
          <w:i/>
          <w:sz w:val="19"/>
          <w:szCs w:val="20"/>
          <w:lang w:eastAsia="ru-RU"/>
        </w:rPr>
        <w:t>Вищий навчальний заклад Укоопспілки</w:t>
      </w:r>
    </w:p>
    <w:p w14:paraId="0183BAA3" w14:textId="77777777" w:rsidR="008E6492" w:rsidRPr="008E6492" w:rsidRDefault="008E6492" w:rsidP="008E6492">
      <w:pPr>
        <w:spacing w:after="0" w:line="230" w:lineRule="auto"/>
        <w:rPr>
          <w:rFonts w:ascii="Arial" w:eastAsia="Arial" w:hAnsi="Arial" w:cs="Arial"/>
          <w:i/>
          <w:sz w:val="20"/>
          <w:szCs w:val="20"/>
          <w:lang w:eastAsia="ru-RU"/>
        </w:rPr>
      </w:pPr>
      <w:r w:rsidRPr="008E6492">
        <w:rPr>
          <w:rFonts w:ascii="Arial" w:eastAsia="Arial" w:hAnsi="Arial" w:cs="Arial"/>
          <w:i/>
          <w:sz w:val="20"/>
          <w:szCs w:val="20"/>
          <w:lang w:eastAsia="ru-RU"/>
        </w:rPr>
        <w:t>«Полтавський університет економіки і торгівлі»</w:t>
      </w:r>
    </w:p>
    <w:p w14:paraId="359B9E29" w14:textId="77777777" w:rsidR="008E6492" w:rsidRPr="008E6492" w:rsidRDefault="008E6492" w:rsidP="008E6492">
      <w:pPr>
        <w:spacing w:after="0" w:line="127" w:lineRule="exact"/>
        <w:rPr>
          <w:rFonts w:ascii="Times New Roman" w:eastAsia="Times New Roman" w:hAnsi="Times New Roman" w:cs="Arial"/>
          <w:sz w:val="20"/>
          <w:szCs w:val="20"/>
          <w:lang w:eastAsia="ru-RU"/>
        </w:rPr>
      </w:pPr>
    </w:p>
    <w:p w14:paraId="2E0F6569" w14:textId="77777777" w:rsidR="008E6492" w:rsidRPr="008E6492" w:rsidRDefault="008E6492" w:rsidP="008E6492">
      <w:pPr>
        <w:spacing w:after="0" w:line="248" w:lineRule="auto"/>
        <w:ind w:right="20"/>
        <w:jc w:val="center"/>
        <w:rPr>
          <w:rFonts w:ascii="Arial" w:eastAsia="Arial" w:hAnsi="Arial" w:cs="Arial"/>
          <w:b/>
          <w:sz w:val="21"/>
          <w:szCs w:val="20"/>
          <w:lang w:eastAsia="ru-RU"/>
        </w:rPr>
      </w:pPr>
      <w:r w:rsidRPr="008E6492">
        <w:rPr>
          <w:rFonts w:ascii="Arial" w:eastAsia="Arial" w:hAnsi="Arial" w:cs="Arial"/>
          <w:b/>
          <w:sz w:val="21"/>
          <w:szCs w:val="20"/>
          <w:lang w:eastAsia="ru-RU"/>
        </w:rPr>
        <w:t>ЛОГІСТИЧНИЙ ПІДХІД ДО УПРАВЛІННЯ ФІНАНСОВИМИ ПОТОКАМИ МОРСЬКОГО ТОРГОВЕЛЬНОГО ПОРТУ</w:t>
      </w:r>
    </w:p>
    <w:p w14:paraId="1FB23C45" w14:textId="77777777" w:rsidR="008E6492" w:rsidRPr="008E6492" w:rsidRDefault="008E6492" w:rsidP="008E6492">
      <w:pPr>
        <w:spacing w:after="0" w:line="116" w:lineRule="exact"/>
        <w:rPr>
          <w:rFonts w:ascii="Times New Roman" w:eastAsia="Times New Roman" w:hAnsi="Times New Roman" w:cs="Arial"/>
          <w:sz w:val="20"/>
          <w:szCs w:val="20"/>
          <w:lang w:eastAsia="ru-RU"/>
        </w:rPr>
      </w:pPr>
    </w:p>
    <w:p w14:paraId="13BEF5B7" w14:textId="77777777" w:rsidR="008E6492" w:rsidRPr="008E6492" w:rsidRDefault="008E6492" w:rsidP="008E6492">
      <w:pPr>
        <w:spacing w:after="0" w:line="233" w:lineRule="auto"/>
        <w:ind w:firstLine="283"/>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Процеси управління фінансовими потоками є суттєвою скла-довою системи менеджменту будь-якого суб’єкту господарю-вання. Не виключенням є і таке специфічне підприємство як морський торговельний порт, що поєднує у собі функції логіс-тичного центру та регіональної транспортно-вантажної системи.</w:t>
      </w:r>
    </w:p>
    <w:p w14:paraId="1FE52E5F" w14:textId="77777777" w:rsidR="008E6492" w:rsidRPr="008E6492" w:rsidRDefault="008E6492" w:rsidP="008E6492">
      <w:pPr>
        <w:spacing w:after="0" w:line="11" w:lineRule="exact"/>
        <w:rPr>
          <w:rFonts w:ascii="Times New Roman" w:eastAsia="Times New Roman" w:hAnsi="Times New Roman" w:cs="Arial"/>
          <w:sz w:val="20"/>
          <w:szCs w:val="20"/>
          <w:lang w:eastAsia="ru-RU"/>
        </w:rPr>
      </w:pPr>
    </w:p>
    <w:p w14:paraId="3630B187" w14:textId="77777777" w:rsidR="008E6492" w:rsidRPr="008E6492" w:rsidRDefault="008E6492" w:rsidP="008E6492">
      <w:pPr>
        <w:spacing w:after="0" w:line="233" w:lineRule="auto"/>
        <w:ind w:firstLine="283"/>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Специфіка управління фінансовими потоками у морських торговельних портах України визначається наступними особли-востями:</w:t>
      </w:r>
    </w:p>
    <w:p w14:paraId="051758AB" w14:textId="77777777" w:rsidR="008E6492" w:rsidRPr="008E6492" w:rsidRDefault="008E6492" w:rsidP="008E6492">
      <w:pPr>
        <w:spacing w:after="0" w:line="7" w:lineRule="exact"/>
        <w:rPr>
          <w:rFonts w:ascii="Times New Roman" w:eastAsia="Times New Roman" w:hAnsi="Times New Roman" w:cs="Arial"/>
          <w:sz w:val="20"/>
          <w:szCs w:val="20"/>
          <w:lang w:eastAsia="ru-RU"/>
        </w:rPr>
      </w:pPr>
    </w:p>
    <w:p w14:paraId="6BB15CAE" w14:textId="77777777" w:rsidR="008E6492" w:rsidRPr="008E6492" w:rsidRDefault="008E6492" w:rsidP="008E6492">
      <w:pPr>
        <w:spacing w:after="0" w:line="233" w:lineRule="auto"/>
        <w:ind w:firstLine="283"/>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 переважно державна власність, що накладає додаткові об-меження на можливості залучення кредитних ресурсів, викорис-тання тимчасово вільних коштів, придбання матеріалів, залу-чення підрядників тощо;</w:t>
      </w:r>
    </w:p>
    <w:p w14:paraId="0E3D60C5" w14:textId="77777777" w:rsidR="008E6492" w:rsidRPr="008E6492" w:rsidRDefault="008E6492" w:rsidP="008E6492">
      <w:pPr>
        <w:spacing w:after="0" w:line="8" w:lineRule="exact"/>
        <w:rPr>
          <w:rFonts w:ascii="Times New Roman" w:eastAsia="Times New Roman" w:hAnsi="Times New Roman" w:cs="Arial"/>
          <w:sz w:val="20"/>
          <w:szCs w:val="20"/>
          <w:lang w:eastAsia="ru-RU"/>
        </w:rPr>
      </w:pPr>
    </w:p>
    <w:p w14:paraId="63B62C39" w14:textId="77777777" w:rsidR="008E6492" w:rsidRPr="008E6492" w:rsidRDefault="008E6492" w:rsidP="008E6492">
      <w:pPr>
        <w:spacing w:after="0" w:line="232" w:lineRule="auto"/>
        <w:ind w:firstLine="283"/>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 активна участь у експортно-імпортних операціях, що ви-значає необхідність особливого врахування валютних й інфля-ційних ризиків;</w:t>
      </w:r>
    </w:p>
    <w:p w14:paraId="5ECB6B8F" w14:textId="77777777" w:rsidR="008E6492" w:rsidRPr="008E6492" w:rsidRDefault="008E6492" w:rsidP="008E6492">
      <w:pPr>
        <w:spacing w:after="0" w:line="10" w:lineRule="exact"/>
        <w:rPr>
          <w:rFonts w:ascii="Times New Roman" w:eastAsia="Times New Roman" w:hAnsi="Times New Roman" w:cs="Arial"/>
          <w:sz w:val="20"/>
          <w:szCs w:val="20"/>
          <w:lang w:eastAsia="ru-RU"/>
        </w:rPr>
      </w:pPr>
    </w:p>
    <w:p w14:paraId="3CEA3985" w14:textId="77777777" w:rsidR="008E6492" w:rsidRPr="008E6492" w:rsidRDefault="008E6492" w:rsidP="008E6492">
      <w:pPr>
        <w:spacing w:after="0" w:line="233" w:lineRule="auto"/>
        <w:ind w:firstLine="283"/>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 безперервність процесів обслуговування та участь в ук-рупнених ланцюгах постачань, що у складних економічних умо-вах підвищує вірогідність ризиків виникнення заборгованості за операційною діяльністю.</w:t>
      </w:r>
    </w:p>
    <w:p w14:paraId="00AD84BA" w14:textId="77777777" w:rsidR="008E6492" w:rsidRPr="008E6492" w:rsidRDefault="008E6492" w:rsidP="008E6492">
      <w:pPr>
        <w:spacing w:after="0" w:line="8" w:lineRule="exact"/>
        <w:rPr>
          <w:rFonts w:ascii="Times New Roman" w:eastAsia="Times New Roman" w:hAnsi="Times New Roman" w:cs="Arial"/>
          <w:sz w:val="20"/>
          <w:szCs w:val="20"/>
          <w:lang w:eastAsia="ru-RU"/>
        </w:rPr>
      </w:pPr>
    </w:p>
    <w:p w14:paraId="1BC98C25" w14:textId="77777777" w:rsidR="008E6492" w:rsidRPr="008E6492" w:rsidRDefault="008E6492" w:rsidP="008E6492">
      <w:pPr>
        <w:spacing w:after="0" w:line="236" w:lineRule="auto"/>
        <w:ind w:firstLine="283"/>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Всі вказані специфічні особливості, поряд к класичними про-блемами узгодження матеріальних і фінансових потоків суб’єк-тів господарювання [1] визначають необхідність та актуальність розробок щодо вдосконалення існуючих інструментів управ-ління морським торговельним портом на принципах фінансової логістики.</w:t>
      </w:r>
    </w:p>
    <w:p w14:paraId="1E12203E" w14:textId="77777777" w:rsidR="008E6492" w:rsidRPr="008E6492" w:rsidRDefault="008E6492" w:rsidP="008E6492">
      <w:pPr>
        <w:spacing w:after="0" w:line="12" w:lineRule="exact"/>
        <w:rPr>
          <w:rFonts w:ascii="Times New Roman" w:eastAsia="Times New Roman" w:hAnsi="Times New Roman" w:cs="Arial"/>
          <w:sz w:val="20"/>
          <w:szCs w:val="20"/>
          <w:lang w:eastAsia="ru-RU"/>
        </w:rPr>
      </w:pPr>
    </w:p>
    <w:p w14:paraId="386B9D5D" w14:textId="77777777" w:rsidR="008E6492" w:rsidRPr="008E6492" w:rsidRDefault="008E6492" w:rsidP="008E6492">
      <w:pPr>
        <w:spacing w:after="0" w:line="233" w:lineRule="auto"/>
        <w:ind w:firstLine="283"/>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 xml:space="preserve">Фінансова логістика як частина логістичного підходу до управління розглядається достатньо давно. Зокрема, у класичній теорії логістики фінанси є частиною загальної системи управ-ління матеріальними потоками </w:t>
      </w:r>
      <w:hyperlink w:anchor="page52" w:history="1">
        <w:r w:rsidRPr="008E6492">
          <w:rPr>
            <w:rFonts w:ascii="Times New Roman" w:eastAsia="Times New Roman" w:hAnsi="Times New Roman" w:cs="Arial"/>
            <w:szCs w:val="20"/>
            <w:lang w:eastAsia="ru-RU"/>
          </w:rPr>
          <w:t>[3</w:t>
        </w:r>
      </w:hyperlink>
      <w:r w:rsidRPr="008E6492">
        <w:rPr>
          <w:rFonts w:ascii="Times New Roman" w:eastAsia="Times New Roman" w:hAnsi="Times New Roman" w:cs="Arial"/>
          <w:szCs w:val="20"/>
          <w:lang w:eastAsia="ru-RU"/>
        </w:rPr>
        <w:t>]. Проте у деяких сучасних дослідження фінансова логістика розглядається як специфічна система управління фінансовими потоками, що не завжди пов’я-</w:t>
      </w:r>
    </w:p>
    <w:p w14:paraId="1380C8C6" w14:textId="77777777" w:rsidR="008E6492" w:rsidRPr="008E6492" w:rsidRDefault="008E6492" w:rsidP="008E6492">
      <w:pPr>
        <w:spacing w:after="0" w:line="233" w:lineRule="auto"/>
        <w:ind w:firstLine="283"/>
        <w:jc w:val="both"/>
        <w:rPr>
          <w:rFonts w:ascii="Times New Roman" w:eastAsia="Times New Roman" w:hAnsi="Times New Roman" w:cs="Arial"/>
          <w:szCs w:val="20"/>
          <w:lang w:eastAsia="ru-RU"/>
        </w:rPr>
        <w:sectPr w:rsidR="008E6492" w:rsidRPr="008E6492">
          <w:pgSz w:w="8400" w:h="11906"/>
          <w:pgMar w:top="1131" w:right="1133" w:bottom="600" w:left="1140" w:header="0" w:footer="0" w:gutter="0"/>
          <w:cols w:space="0" w:equalWidth="0">
            <w:col w:w="6120"/>
          </w:cols>
          <w:docGrid w:linePitch="360"/>
        </w:sectPr>
      </w:pPr>
    </w:p>
    <w:p w14:paraId="4EA316C4" w14:textId="77777777" w:rsidR="008E6492" w:rsidRPr="008E6492" w:rsidRDefault="008E6492" w:rsidP="008E6492">
      <w:pPr>
        <w:spacing w:after="0" w:line="279" w:lineRule="exact"/>
        <w:rPr>
          <w:rFonts w:ascii="Times New Roman" w:eastAsia="Times New Roman" w:hAnsi="Times New Roman" w:cs="Arial"/>
          <w:sz w:val="20"/>
          <w:szCs w:val="20"/>
          <w:lang w:eastAsia="ru-RU"/>
        </w:rPr>
      </w:pPr>
    </w:p>
    <w:p w14:paraId="61AD37F1" w14:textId="77777777" w:rsidR="008E6492" w:rsidRPr="008E6492" w:rsidRDefault="008E6492" w:rsidP="008E6492">
      <w:pPr>
        <w:tabs>
          <w:tab w:val="left" w:pos="5320"/>
        </w:tabs>
        <w:spacing w:after="0" w:line="0" w:lineRule="atLeast"/>
        <w:rPr>
          <w:rFonts w:ascii="Times New Roman" w:eastAsia="Times New Roman" w:hAnsi="Times New Roman" w:cs="Arial"/>
          <w:b/>
          <w:sz w:val="16"/>
          <w:szCs w:val="20"/>
          <w:lang w:eastAsia="ru-RU"/>
        </w:rPr>
      </w:pPr>
      <w:r w:rsidRPr="008E6492">
        <w:rPr>
          <w:rFonts w:ascii="Times New Roman" w:eastAsia="Times New Roman" w:hAnsi="Times New Roman" w:cs="Arial"/>
          <w:sz w:val="20"/>
          <w:szCs w:val="20"/>
          <w:lang w:eastAsia="ru-RU"/>
        </w:rPr>
        <w:t>50</w:t>
      </w:r>
      <w:r w:rsidRPr="008E6492">
        <w:rPr>
          <w:rFonts w:ascii="Times New Roman" w:eastAsia="Times New Roman" w:hAnsi="Times New Roman" w:cs="Arial"/>
          <w:sz w:val="20"/>
          <w:szCs w:val="20"/>
          <w:lang w:eastAsia="ru-RU"/>
        </w:rPr>
        <w:tab/>
      </w:r>
      <w:r w:rsidRPr="008E6492">
        <w:rPr>
          <w:rFonts w:ascii="Times New Roman" w:eastAsia="Times New Roman" w:hAnsi="Times New Roman" w:cs="Arial"/>
          <w:b/>
          <w:sz w:val="16"/>
          <w:szCs w:val="20"/>
          <w:lang w:eastAsia="ru-RU"/>
        </w:rPr>
        <w:t xml:space="preserve">- © </w:t>
      </w:r>
      <w:r w:rsidRPr="008E6492">
        <w:rPr>
          <w:rFonts w:ascii="Arial" w:eastAsia="Arial" w:hAnsi="Arial" w:cs="Arial"/>
          <w:b/>
          <w:sz w:val="16"/>
          <w:szCs w:val="20"/>
          <w:lang w:eastAsia="ru-RU"/>
        </w:rPr>
        <w:t>ПУЕТ</w:t>
      </w:r>
      <w:r w:rsidRPr="008E6492">
        <w:rPr>
          <w:rFonts w:ascii="Times New Roman" w:eastAsia="Times New Roman" w:hAnsi="Times New Roman" w:cs="Arial"/>
          <w:b/>
          <w:sz w:val="16"/>
          <w:szCs w:val="20"/>
          <w:lang w:eastAsia="ru-RU"/>
        </w:rPr>
        <w:t xml:space="preserve"> -</w:t>
      </w:r>
    </w:p>
    <w:p w14:paraId="4D47F11E" w14:textId="77777777" w:rsidR="008E6492" w:rsidRPr="008E6492" w:rsidRDefault="008E6492" w:rsidP="008E6492">
      <w:pPr>
        <w:tabs>
          <w:tab w:val="left" w:pos="5320"/>
        </w:tabs>
        <w:spacing w:after="0" w:line="0" w:lineRule="atLeast"/>
        <w:rPr>
          <w:rFonts w:ascii="Times New Roman" w:eastAsia="Times New Roman" w:hAnsi="Times New Roman" w:cs="Arial"/>
          <w:b/>
          <w:sz w:val="16"/>
          <w:szCs w:val="20"/>
          <w:lang w:eastAsia="ru-RU"/>
        </w:rPr>
        <w:sectPr w:rsidR="008E6492" w:rsidRPr="008E6492">
          <w:type w:val="continuous"/>
          <w:pgSz w:w="8400" w:h="11906"/>
          <w:pgMar w:top="1131" w:right="1133" w:bottom="600" w:left="1140" w:header="0" w:footer="0" w:gutter="0"/>
          <w:cols w:space="0" w:equalWidth="0">
            <w:col w:w="6120"/>
          </w:cols>
          <w:docGrid w:linePitch="360"/>
        </w:sectPr>
      </w:pPr>
    </w:p>
    <w:p w14:paraId="5BF9DA32" w14:textId="77777777" w:rsidR="008E6492" w:rsidRPr="008E6492" w:rsidRDefault="008E6492" w:rsidP="008E6492">
      <w:pPr>
        <w:spacing w:after="0" w:line="232" w:lineRule="auto"/>
        <w:rPr>
          <w:rFonts w:ascii="Times New Roman" w:eastAsia="Times New Roman" w:hAnsi="Times New Roman" w:cs="Arial"/>
          <w:szCs w:val="20"/>
          <w:lang w:eastAsia="ru-RU"/>
        </w:rPr>
      </w:pPr>
      <w:bookmarkStart w:id="0" w:name="page51"/>
      <w:bookmarkEnd w:id="0"/>
      <w:r w:rsidRPr="008E6492">
        <w:rPr>
          <w:rFonts w:ascii="Times New Roman" w:eastAsia="Times New Roman" w:hAnsi="Times New Roman" w:cs="Arial"/>
          <w:szCs w:val="20"/>
          <w:lang w:eastAsia="ru-RU"/>
        </w:rPr>
        <w:lastRenderedPageBreak/>
        <w:t xml:space="preserve">зані з рухом матеріальних ресурсів, а саме, у межах консолідо-ваних груп підприємств </w:t>
      </w:r>
      <w:hyperlink w:anchor="page52" w:history="1">
        <w:r w:rsidRPr="008E6492">
          <w:rPr>
            <w:rFonts w:ascii="Times New Roman" w:eastAsia="Times New Roman" w:hAnsi="Times New Roman" w:cs="Arial"/>
            <w:szCs w:val="20"/>
            <w:lang w:eastAsia="ru-RU"/>
          </w:rPr>
          <w:t>[2</w:t>
        </w:r>
      </w:hyperlink>
      <w:r w:rsidRPr="008E6492">
        <w:rPr>
          <w:rFonts w:ascii="Times New Roman" w:eastAsia="Times New Roman" w:hAnsi="Times New Roman" w:cs="Arial"/>
          <w:szCs w:val="20"/>
          <w:lang w:eastAsia="ru-RU"/>
        </w:rPr>
        <w:t xml:space="preserve">], морських портів </w:t>
      </w:r>
      <w:hyperlink w:anchor="page52" w:history="1">
        <w:r w:rsidRPr="008E6492">
          <w:rPr>
            <w:rFonts w:ascii="Times New Roman" w:eastAsia="Times New Roman" w:hAnsi="Times New Roman" w:cs="Arial"/>
            <w:szCs w:val="20"/>
            <w:lang w:eastAsia="ru-RU"/>
          </w:rPr>
          <w:t>[4</w:t>
        </w:r>
      </w:hyperlink>
      <w:r w:rsidRPr="008E6492">
        <w:rPr>
          <w:rFonts w:ascii="Times New Roman" w:eastAsia="Times New Roman" w:hAnsi="Times New Roman" w:cs="Arial"/>
          <w:szCs w:val="20"/>
          <w:lang w:eastAsia="ru-RU"/>
        </w:rPr>
        <w:t>] тощо.</w:t>
      </w:r>
    </w:p>
    <w:p w14:paraId="1B34A940" w14:textId="77777777" w:rsidR="008E6492" w:rsidRPr="008E6492" w:rsidRDefault="008E6492" w:rsidP="008E6492">
      <w:pPr>
        <w:spacing w:after="0" w:line="13" w:lineRule="exact"/>
        <w:rPr>
          <w:rFonts w:ascii="Times New Roman" w:eastAsia="Times New Roman" w:hAnsi="Times New Roman" w:cs="Arial"/>
          <w:sz w:val="20"/>
          <w:szCs w:val="20"/>
          <w:lang w:eastAsia="ru-RU"/>
        </w:rPr>
      </w:pPr>
    </w:p>
    <w:p w14:paraId="4E4DC41B" w14:textId="77777777" w:rsidR="008E6492" w:rsidRPr="008E6492" w:rsidRDefault="008E6492" w:rsidP="008E6492">
      <w:pPr>
        <w:numPr>
          <w:ilvl w:val="0"/>
          <w:numId w:val="1"/>
        </w:numPr>
        <w:tabs>
          <w:tab w:val="left" w:pos="494"/>
        </w:tabs>
        <w:spacing w:after="0" w:line="236" w:lineRule="auto"/>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урахуванням специфіки фінансово-господарської діяльно-сті морського торговельного порту, фінансовий потік як об’єкт управління можна розглядати у межах наступних підсистем:</w:t>
      </w:r>
    </w:p>
    <w:p w14:paraId="18692111" w14:textId="77777777" w:rsidR="008E6492" w:rsidRPr="008E6492" w:rsidRDefault="008E6492" w:rsidP="008E6492">
      <w:pPr>
        <w:spacing w:after="0" w:line="12" w:lineRule="exact"/>
        <w:rPr>
          <w:rFonts w:ascii="Times New Roman" w:eastAsia="Times New Roman" w:hAnsi="Times New Roman" w:cs="Arial"/>
          <w:szCs w:val="20"/>
          <w:lang w:eastAsia="ru-RU"/>
        </w:rPr>
      </w:pPr>
    </w:p>
    <w:p w14:paraId="14265A2D" w14:textId="77777777" w:rsidR="008E6492" w:rsidRPr="008E6492" w:rsidRDefault="008E6492" w:rsidP="008E6492">
      <w:pPr>
        <w:spacing w:after="0" w:line="235" w:lineRule="auto"/>
        <w:ind w:firstLine="283"/>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 операційної діяльності з надання основних транспортно-вантажних послуг;</w:t>
      </w:r>
    </w:p>
    <w:p w14:paraId="1E5E3163" w14:textId="77777777" w:rsidR="008E6492" w:rsidRPr="008E6492" w:rsidRDefault="008E6492" w:rsidP="008E6492">
      <w:pPr>
        <w:spacing w:after="0" w:line="0" w:lineRule="atLeast"/>
        <w:ind w:left="280"/>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  операційної діяльність з надання супних послуг;</w:t>
      </w:r>
    </w:p>
    <w:p w14:paraId="1E996FEB" w14:textId="77777777" w:rsidR="008E6492" w:rsidRPr="008E6492" w:rsidRDefault="008E6492" w:rsidP="008E6492">
      <w:pPr>
        <w:spacing w:after="0" w:line="0" w:lineRule="atLeast"/>
        <w:ind w:left="280"/>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  інвестиційної діяльності;</w:t>
      </w:r>
    </w:p>
    <w:p w14:paraId="7F6752C0" w14:textId="77777777" w:rsidR="008E6492" w:rsidRPr="008E6492" w:rsidRDefault="008E6492" w:rsidP="008E6492">
      <w:pPr>
        <w:spacing w:after="0" w:line="0" w:lineRule="atLeast"/>
        <w:ind w:left="280"/>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  фінансової діяльності та управління капіталом;</w:t>
      </w:r>
    </w:p>
    <w:p w14:paraId="39DE7B6C" w14:textId="77777777" w:rsidR="008E6492" w:rsidRPr="008E6492" w:rsidRDefault="008E6492" w:rsidP="008E6492">
      <w:pPr>
        <w:spacing w:after="0" w:line="11" w:lineRule="exact"/>
        <w:rPr>
          <w:rFonts w:ascii="Times New Roman" w:eastAsia="Times New Roman" w:hAnsi="Times New Roman" w:cs="Arial"/>
          <w:szCs w:val="20"/>
          <w:lang w:eastAsia="ru-RU"/>
        </w:rPr>
      </w:pPr>
    </w:p>
    <w:p w14:paraId="2731B8D3" w14:textId="77777777" w:rsidR="008E6492" w:rsidRPr="008E6492" w:rsidRDefault="008E6492" w:rsidP="008E6492">
      <w:pPr>
        <w:spacing w:after="0" w:line="235" w:lineRule="auto"/>
        <w:ind w:firstLine="283"/>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 діяльності з управління фінансовими потоками у інозем-них валютах;</w:t>
      </w:r>
    </w:p>
    <w:p w14:paraId="398C4148" w14:textId="77777777" w:rsidR="008E6492" w:rsidRPr="008E6492" w:rsidRDefault="008E6492" w:rsidP="008E6492">
      <w:pPr>
        <w:spacing w:after="0" w:line="0" w:lineRule="atLeast"/>
        <w:ind w:left="280"/>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  діяльності з управління державними коштами.</w:t>
      </w:r>
    </w:p>
    <w:p w14:paraId="54B13DB3" w14:textId="77777777" w:rsidR="008E6492" w:rsidRPr="008E6492" w:rsidRDefault="008E6492" w:rsidP="008E6492">
      <w:pPr>
        <w:spacing w:after="0" w:line="9" w:lineRule="exact"/>
        <w:rPr>
          <w:rFonts w:ascii="Times New Roman" w:eastAsia="Times New Roman" w:hAnsi="Times New Roman" w:cs="Arial"/>
          <w:szCs w:val="20"/>
          <w:lang w:eastAsia="ru-RU"/>
        </w:rPr>
      </w:pPr>
    </w:p>
    <w:p w14:paraId="2E98CE00" w14:textId="77777777" w:rsidR="008E6492" w:rsidRPr="008E6492" w:rsidRDefault="008E6492" w:rsidP="008E6492">
      <w:pPr>
        <w:numPr>
          <w:ilvl w:val="0"/>
          <w:numId w:val="1"/>
        </w:numPr>
        <w:tabs>
          <w:tab w:val="left" w:pos="511"/>
        </w:tabs>
        <w:spacing w:after="0" w:line="238" w:lineRule="auto"/>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урахуванням вказаної декомпозиції доцільним є розроб-лення нових та вдосконалення діючих інструментів управління фінансовими потоками морського торговельного порту з вико-ристанням методів логістичного підходу, системно-динамічного моделювання та інформаційно-аналітичної підтримки прийняття управлінських рішень.</w:t>
      </w:r>
    </w:p>
    <w:p w14:paraId="3723A4E6" w14:textId="77777777" w:rsidR="008E6492" w:rsidRPr="008E6492" w:rsidRDefault="008E6492" w:rsidP="008E6492">
      <w:pPr>
        <w:spacing w:after="0" w:line="13" w:lineRule="exact"/>
        <w:rPr>
          <w:rFonts w:ascii="Times New Roman" w:eastAsia="Times New Roman" w:hAnsi="Times New Roman" w:cs="Arial"/>
          <w:szCs w:val="20"/>
          <w:lang w:eastAsia="ru-RU"/>
        </w:rPr>
      </w:pPr>
    </w:p>
    <w:p w14:paraId="6D79EFA8" w14:textId="77777777" w:rsidR="008E6492" w:rsidRPr="008E6492" w:rsidRDefault="008E6492" w:rsidP="008E6492">
      <w:pPr>
        <w:spacing w:after="0" w:line="239" w:lineRule="auto"/>
        <w:ind w:firstLine="283"/>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Побудова укрупненої моделі управління процесами фінан-сової логістики морського торговельного порту визначається відповідними стратегічними орієнтирами, зокрема, максимізації обсягу валових надходжень або операційного прибутку. Подаль-ша тактична й оперативна деталізація відповідних стратегічних показників вказує на необхідність у межах операційної діяль-ності вивчення та моделювання динаміки валового прибутку за рахунок оптимізації доходів (за видами діяльності), витрат (по-казників операційного леверджу, логістичних витрат та затри-мок у часі тощо) та капіталу (показників оборотності, середньої вартості, левереджу робочого капіталу тощо).</w:t>
      </w:r>
    </w:p>
    <w:p w14:paraId="79EBF3A4" w14:textId="77777777" w:rsidR="008E6492" w:rsidRPr="008E6492" w:rsidRDefault="008E6492" w:rsidP="008E6492">
      <w:pPr>
        <w:spacing w:after="0" w:line="11" w:lineRule="exact"/>
        <w:rPr>
          <w:rFonts w:ascii="Times New Roman" w:eastAsia="Times New Roman" w:hAnsi="Times New Roman" w:cs="Arial"/>
          <w:szCs w:val="20"/>
          <w:lang w:eastAsia="ru-RU"/>
        </w:rPr>
      </w:pPr>
    </w:p>
    <w:p w14:paraId="6BEEE545" w14:textId="77777777" w:rsidR="008E6492" w:rsidRPr="008E6492" w:rsidRDefault="008E6492" w:rsidP="008E6492">
      <w:pPr>
        <w:spacing w:after="0" w:line="238" w:lineRule="auto"/>
        <w:ind w:firstLine="283"/>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Моделі інвестиційної і фінансової підсистем також зосере-джують свою увагу на динаміці показників капіталу (середньо-зваженої вартості капіталу, витрат на його залучення, рентабель-ності використання тощо) та чистого прибутку (показників фі-нансового левереджу, втрат прибутку, розміру штрафних санк-ціях та витрат на регулювання).</w:t>
      </w:r>
    </w:p>
    <w:p w14:paraId="46DE6A4C" w14:textId="77777777" w:rsidR="008E6492" w:rsidRPr="008E6492" w:rsidRDefault="008E6492" w:rsidP="008E6492">
      <w:pPr>
        <w:spacing w:after="0" w:line="238" w:lineRule="auto"/>
        <w:ind w:firstLine="283"/>
        <w:jc w:val="both"/>
        <w:rPr>
          <w:rFonts w:ascii="Times New Roman" w:eastAsia="Times New Roman" w:hAnsi="Times New Roman" w:cs="Arial"/>
          <w:szCs w:val="20"/>
          <w:lang w:eastAsia="ru-RU"/>
        </w:rPr>
        <w:sectPr w:rsidR="008E6492" w:rsidRPr="008E6492">
          <w:pgSz w:w="8400" w:h="11906"/>
          <w:pgMar w:top="1132" w:right="1133" w:bottom="575" w:left="1140" w:header="0" w:footer="0" w:gutter="0"/>
          <w:cols w:space="0" w:equalWidth="0">
            <w:col w:w="6120"/>
          </w:cols>
          <w:docGrid w:linePitch="360"/>
        </w:sectPr>
      </w:pPr>
    </w:p>
    <w:p w14:paraId="5DA0C48B" w14:textId="77777777" w:rsidR="008E6492" w:rsidRPr="008E6492" w:rsidRDefault="008E6492" w:rsidP="008E6492">
      <w:pPr>
        <w:spacing w:after="0" w:line="314" w:lineRule="exact"/>
        <w:rPr>
          <w:rFonts w:ascii="Times New Roman" w:eastAsia="Times New Roman" w:hAnsi="Times New Roman" w:cs="Arial"/>
          <w:sz w:val="20"/>
          <w:szCs w:val="20"/>
          <w:lang w:eastAsia="ru-RU"/>
        </w:rPr>
      </w:pPr>
    </w:p>
    <w:p w14:paraId="7BA0E7A7" w14:textId="77777777" w:rsidR="008E6492" w:rsidRPr="008E6492" w:rsidRDefault="008E6492" w:rsidP="008E6492">
      <w:pPr>
        <w:tabs>
          <w:tab w:val="left" w:pos="5900"/>
        </w:tabs>
        <w:spacing w:after="0" w:line="0" w:lineRule="atLeast"/>
        <w:rPr>
          <w:rFonts w:ascii="Times New Roman" w:eastAsia="Times New Roman" w:hAnsi="Times New Roman" w:cs="Arial"/>
          <w:sz w:val="20"/>
          <w:szCs w:val="20"/>
          <w:lang w:eastAsia="ru-RU"/>
        </w:rPr>
      </w:pPr>
      <w:r w:rsidRPr="008E6492">
        <w:rPr>
          <w:rFonts w:ascii="Times New Roman" w:eastAsia="Times New Roman" w:hAnsi="Times New Roman" w:cs="Arial"/>
          <w:b/>
          <w:sz w:val="16"/>
          <w:szCs w:val="20"/>
          <w:lang w:eastAsia="ru-RU"/>
        </w:rPr>
        <w:t xml:space="preserve">- © </w:t>
      </w:r>
      <w:r w:rsidRPr="008E6492">
        <w:rPr>
          <w:rFonts w:ascii="Arial" w:eastAsia="Arial" w:hAnsi="Arial" w:cs="Arial"/>
          <w:b/>
          <w:sz w:val="16"/>
          <w:szCs w:val="20"/>
          <w:lang w:eastAsia="ru-RU"/>
        </w:rPr>
        <w:t>ПУЕТ</w:t>
      </w:r>
      <w:r w:rsidRPr="008E6492">
        <w:rPr>
          <w:rFonts w:ascii="Times New Roman" w:eastAsia="Times New Roman" w:hAnsi="Times New Roman" w:cs="Arial"/>
          <w:b/>
          <w:sz w:val="16"/>
          <w:szCs w:val="20"/>
          <w:lang w:eastAsia="ru-RU"/>
        </w:rPr>
        <w:t xml:space="preserve"> -</w:t>
      </w:r>
      <w:r w:rsidRPr="008E6492">
        <w:rPr>
          <w:rFonts w:ascii="Times New Roman" w:eastAsia="Times New Roman" w:hAnsi="Times New Roman" w:cs="Arial"/>
          <w:sz w:val="20"/>
          <w:szCs w:val="20"/>
          <w:lang w:eastAsia="ru-RU"/>
        </w:rPr>
        <w:tab/>
        <w:t>51</w:t>
      </w:r>
    </w:p>
    <w:p w14:paraId="66E3E5BB" w14:textId="77777777" w:rsidR="008E6492" w:rsidRPr="008E6492" w:rsidRDefault="008E6492" w:rsidP="008E6492">
      <w:pPr>
        <w:tabs>
          <w:tab w:val="left" w:pos="5900"/>
        </w:tabs>
        <w:spacing w:after="0" w:line="0" w:lineRule="atLeast"/>
        <w:rPr>
          <w:rFonts w:ascii="Times New Roman" w:eastAsia="Times New Roman" w:hAnsi="Times New Roman" w:cs="Arial"/>
          <w:sz w:val="20"/>
          <w:szCs w:val="20"/>
          <w:lang w:eastAsia="ru-RU"/>
        </w:rPr>
        <w:sectPr w:rsidR="008E6492" w:rsidRPr="008E6492">
          <w:type w:val="continuous"/>
          <w:pgSz w:w="8400" w:h="11906"/>
          <w:pgMar w:top="1132" w:right="1133" w:bottom="575" w:left="1140" w:header="0" w:footer="0" w:gutter="0"/>
          <w:cols w:space="0" w:equalWidth="0">
            <w:col w:w="6120"/>
          </w:cols>
          <w:docGrid w:linePitch="360"/>
        </w:sectPr>
      </w:pPr>
    </w:p>
    <w:p w14:paraId="4FF11EB5" w14:textId="77777777" w:rsidR="008E6492" w:rsidRPr="008E6492" w:rsidRDefault="008E6492" w:rsidP="008E6492">
      <w:pPr>
        <w:spacing w:after="0" w:line="234" w:lineRule="auto"/>
        <w:ind w:left="7" w:firstLine="283"/>
        <w:jc w:val="both"/>
        <w:rPr>
          <w:rFonts w:ascii="Times New Roman" w:eastAsia="Times New Roman" w:hAnsi="Times New Roman" w:cs="Arial"/>
          <w:szCs w:val="20"/>
          <w:lang w:eastAsia="ru-RU"/>
        </w:rPr>
      </w:pPr>
      <w:bookmarkStart w:id="1" w:name="page52"/>
      <w:bookmarkEnd w:id="1"/>
      <w:r w:rsidRPr="008E6492">
        <w:rPr>
          <w:rFonts w:ascii="Times New Roman" w:eastAsia="Times New Roman" w:hAnsi="Times New Roman" w:cs="Arial"/>
          <w:szCs w:val="20"/>
          <w:lang w:eastAsia="ru-RU"/>
        </w:rPr>
        <w:lastRenderedPageBreak/>
        <w:t>Таким чином, вдосконалення системи управління фінансо-вими потоками морського торговельного порту на принципах логістичного підходу до регулювання потокових процесів є ак-туальним завданням сучасної теорії і практики менеджменту. Відповідні наукові результати визначаються декомпозицією системи фінансової логістики та постановкою моделі системно-динамічного моделювання фінансових потоків морського торго-вельного порту.</w:t>
      </w:r>
    </w:p>
    <w:p w14:paraId="7033F58B" w14:textId="77777777" w:rsidR="008E6492" w:rsidRPr="008E6492" w:rsidRDefault="008E6492" w:rsidP="008E6492">
      <w:pPr>
        <w:spacing w:after="0" w:line="120" w:lineRule="exact"/>
        <w:rPr>
          <w:rFonts w:ascii="Times New Roman" w:eastAsia="Times New Roman" w:hAnsi="Times New Roman" w:cs="Arial"/>
          <w:sz w:val="20"/>
          <w:szCs w:val="20"/>
          <w:lang w:eastAsia="ru-RU"/>
        </w:rPr>
      </w:pPr>
    </w:p>
    <w:p w14:paraId="145FD600" w14:textId="77777777" w:rsidR="008E6492" w:rsidRPr="008E6492" w:rsidRDefault="008E6492" w:rsidP="008E6492">
      <w:pPr>
        <w:spacing w:after="0" w:line="0" w:lineRule="atLeast"/>
        <w:ind w:right="-6"/>
        <w:jc w:val="center"/>
        <w:rPr>
          <w:rFonts w:ascii="Times New Roman" w:eastAsia="Times New Roman" w:hAnsi="Times New Roman" w:cs="Arial"/>
          <w:b/>
          <w:i/>
          <w:szCs w:val="20"/>
          <w:lang w:eastAsia="ru-RU"/>
        </w:rPr>
      </w:pPr>
      <w:r w:rsidRPr="008E6492">
        <w:rPr>
          <w:rFonts w:ascii="Times New Roman" w:eastAsia="Times New Roman" w:hAnsi="Times New Roman" w:cs="Arial"/>
          <w:b/>
          <w:i/>
          <w:szCs w:val="20"/>
          <w:lang w:eastAsia="ru-RU"/>
        </w:rPr>
        <w:t>Список використаних інформаційних джерел</w:t>
      </w:r>
    </w:p>
    <w:p w14:paraId="3BA18542" w14:textId="77777777" w:rsidR="008E6492" w:rsidRPr="008E6492" w:rsidRDefault="008E6492" w:rsidP="008E6492">
      <w:pPr>
        <w:spacing w:after="0" w:line="44" w:lineRule="exact"/>
        <w:rPr>
          <w:rFonts w:ascii="Times New Roman" w:eastAsia="Times New Roman" w:hAnsi="Times New Roman" w:cs="Arial"/>
          <w:sz w:val="20"/>
          <w:szCs w:val="20"/>
          <w:lang w:eastAsia="ru-RU"/>
        </w:rPr>
      </w:pPr>
    </w:p>
    <w:p w14:paraId="3E8204DA" w14:textId="77777777" w:rsidR="008E6492" w:rsidRPr="008E6492" w:rsidRDefault="008E6492" w:rsidP="008E6492">
      <w:pPr>
        <w:numPr>
          <w:ilvl w:val="0"/>
          <w:numId w:val="2"/>
        </w:numPr>
        <w:tabs>
          <w:tab w:val="left" w:pos="287"/>
        </w:tabs>
        <w:spacing w:after="0" w:line="233" w:lineRule="auto"/>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Жерліцин Д. М. Інноваційне управління фінансовою систе-мою підприємства : монографія / Д. М. Жерліцин ; за ред. Ю. Г. Лисенка. – Донецьк : Юго-Восток, 2012. – 256 с.</w:t>
      </w:r>
    </w:p>
    <w:p w14:paraId="1D00EACD" w14:textId="77777777" w:rsidR="008E6492" w:rsidRPr="008E6492" w:rsidRDefault="008E6492" w:rsidP="008E6492">
      <w:pPr>
        <w:spacing w:after="0" w:line="7" w:lineRule="exact"/>
        <w:rPr>
          <w:rFonts w:ascii="Times New Roman" w:eastAsia="Times New Roman" w:hAnsi="Times New Roman" w:cs="Arial"/>
          <w:szCs w:val="20"/>
          <w:lang w:eastAsia="ru-RU"/>
        </w:rPr>
      </w:pPr>
    </w:p>
    <w:p w14:paraId="473C7883" w14:textId="77777777" w:rsidR="008E6492" w:rsidRPr="008E6492" w:rsidRDefault="008E6492" w:rsidP="008E6492">
      <w:pPr>
        <w:numPr>
          <w:ilvl w:val="0"/>
          <w:numId w:val="2"/>
        </w:numPr>
        <w:tabs>
          <w:tab w:val="left" w:pos="287"/>
        </w:tabs>
        <w:spacing w:after="0" w:line="233" w:lineRule="auto"/>
        <w:jc w:val="both"/>
        <w:rPr>
          <w:rFonts w:ascii="Times New Roman" w:eastAsia="Times New Roman" w:hAnsi="Times New Roman" w:cs="Arial"/>
          <w:szCs w:val="20"/>
          <w:lang w:eastAsia="ru-RU"/>
        </w:rPr>
      </w:pPr>
      <w:r w:rsidRPr="008E6492">
        <w:rPr>
          <w:rFonts w:ascii="Times New Roman" w:eastAsia="Times New Roman" w:hAnsi="Times New Roman" w:cs="Arial"/>
          <w:szCs w:val="20"/>
          <w:lang w:eastAsia="ru-RU"/>
        </w:rPr>
        <w:t>Сваталова Ю. С. Особенности управления финансовыми по-токами логистической системы холдинга / Сваталова Ю. С., Козенкова Т. А. // Экономический рост и конкурентоспособ-ность России: тенденции, проблемы и стратегические прио-ритеты. – 2011. – № 4. – С. 147–152.</w:t>
      </w:r>
    </w:p>
    <w:p w14:paraId="75E822B6" w14:textId="77777777" w:rsidR="008E6492" w:rsidRPr="008E6492" w:rsidRDefault="008E6492" w:rsidP="008E6492">
      <w:pPr>
        <w:spacing w:after="0" w:line="10" w:lineRule="exact"/>
        <w:rPr>
          <w:rFonts w:ascii="Times New Roman" w:eastAsia="Times New Roman" w:hAnsi="Times New Roman" w:cs="Arial"/>
          <w:szCs w:val="20"/>
          <w:lang w:eastAsia="ru-RU"/>
        </w:rPr>
      </w:pPr>
    </w:p>
    <w:p w14:paraId="65889A40" w14:textId="77777777" w:rsidR="008E6492" w:rsidRPr="008E6492" w:rsidRDefault="008E6492" w:rsidP="008E6492">
      <w:pPr>
        <w:numPr>
          <w:ilvl w:val="0"/>
          <w:numId w:val="2"/>
        </w:numPr>
        <w:tabs>
          <w:tab w:val="left" w:pos="287"/>
        </w:tabs>
        <w:spacing w:after="0" w:line="231" w:lineRule="auto"/>
        <w:rPr>
          <w:rFonts w:ascii="Times New Roman" w:eastAsia="Times New Roman" w:hAnsi="Times New Roman" w:cs="Arial"/>
          <w:szCs w:val="20"/>
          <w:lang w:val="en-US" w:eastAsia="ru-RU"/>
        </w:rPr>
      </w:pPr>
      <w:r w:rsidRPr="008E6492">
        <w:rPr>
          <w:rFonts w:ascii="Times New Roman" w:eastAsia="Times New Roman" w:hAnsi="Times New Roman" w:cs="Arial"/>
          <w:szCs w:val="20"/>
          <w:lang w:val="en-US" w:eastAsia="ru-RU"/>
        </w:rPr>
        <w:t>Lambert, D. M., Stock, J. R., &amp; Ellram, L. M. (1998). Fundamentals of logistics management. McGraw-Hill/Irwin.</w:t>
      </w:r>
    </w:p>
    <w:p w14:paraId="44926616" w14:textId="77777777" w:rsidR="008E6492" w:rsidRPr="008E6492" w:rsidRDefault="008E6492" w:rsidP="008E6492">
      <w:pPr>
        <w:spacing w:after="0" w:line="9" w:lineRule="exact"/>
        <w:rPr>
          <w:rFonts w:ascii="Times New Roman" w:eastAsia="Times New Roman" w:hAnsi="Times New Roman" w:cs="Arial"/>
          <w:szCs w:val="20"/>
          <w:lang w:val="en-US" w:eastAsia="ru-RU"/>
        </w:rPr>
      </w:pPr>
    </w:p>
    <w:p w14:paraId="3F6335DB" w14:textId="77777777" w:rsidR="008E6492" w:rsidRPr="008E6492" w:rsidRDefault="008E6492" w:rsidP="008E6492">
      <w:pPr>
        <w:numPr>
          <w:ilvl w:val="0"/>
          <w:numId w:val="2"/>
        </w:numPr>
        <w:tabs>
          <w:tab w:val="left" w:pos="287"/>
        </w:tabs>
        <w:spacing w:after="0" w:line="236" w:lineRule="auto"/>
        <w:jc w:val="both"/>
        <w:rPr>
          <w:rFonts w:ascii="Times New Roman" w:eastAsia="Times New Roman" w:hAnsi="Times New Roman" w:cs="Arial"/>
          <w:szCs w:val="20"/>
          <w:lang w:eastAsia="ru-RU"/>
        </w:rPr>
      </w:pPr>
      <w:r w:rsidRPr="008E6492">
        <w:rPr>
          <w:rFonts w:ascii="Times New Roman" w:eastAsia="Times New Roman" w:hAnsi="Times New Roman" w:cs="Arial"/>
          <w:szCs w:val="20"/>
          <w:lang w:val="en-US" w:eastAsia="ru-RU"/>
        </w:rPr>
        <w:t xml:space="preserve">Wang, Y., Yu, D. L., Peng, Y. L., &amp; Hao, H. Y. (2008, October). Supply Chain System Financial Logistics Funds Balance of Supply and Demand Based on the System Dynamics. In Wireless Communications, Networking and Mobile Computing, 2008. WiCOM’08. 4th International Conference on (pp. 1–5). </w:t>
      </w:r>
      <w:r w:rsidRPr="008E6492">
        <w:rPr>
          <w:rFonts w:ascii="Times New Roman" w:eastAsia="Times New Roman" w:hAnsi="Times New Roman" w:cs="Arial"/>
          <w:szCs w:val="20"/>
          <w:lang w:eastAsia="ru-RU"/>
        </w:rPr>
        <w:t>IEEE.</w:t>
      </w:r>
    </w:p>
    <w:p w14:paraId="24C893D3" w14:textId="77777777" w:rsidR="00EA4F45" w:rsidRDefault="00EA4F45">
      <w:bookmarkStart w:id="2" w:name="_GoBack"/>
      <w:bookmarkEnd w:id="2"/>
    </w:p>
    <w:sectPr w:rsidR="00EA4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2"/>
    <w:multiLevelType w:val="hybridMultilevel"/>
    <w:tmpl w:val="405ED32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65540"/>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0000033"/>
    <w:multiLevelType w:val="hybridMultilevel"/>
    <w:tmpl w:val="327B517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16778240"/>
      <w:numFmt w:val="decimal"/>
      <w:lvlText w:null="1"/>
      <w:lvlJc w:val="left"/>
    </w:lvl>
    <w:lvl w:ilvl="7" w:tplc="FFFFFFFF">
      <w:start w:val="23"/>
      <w:numFmt w:val="decimal"/>
      <w:lvlText w:val=""/>
      <w:lvlJc w:val="left"/>
    </w:lvl>
    <w:lvl w:ilvl="8" w:tplc="FFFFFFFF">
      <w:start w:val="23"/>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72"/>
    <w:rsid w:val="000F3D0E"/>
    <w:rsid w:val="008E6492"/>
    <w:rsid w:val="00DB3472"/>
    <w:rsid w:val="00EA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1D79-3EA7-40F5-9E1F-2005D38F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4377</Characters>
  <Application>Microsoft Office Word</Application>
  <DocSecurity>0</DocSecurity>
  <Lines>36</Lines>
  <Paragraphs>10</Paragraphs>
  <ScaleCrop>false</ScaleCrop>
  <Company>SPecialiST RePack</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Пасічник</dc:creator>
  <cp:keywords/>
  <dc:description/>
  <cp:lastModifiedBy>Віктор Пасічник</cp:lastModifiedBy>
  <cp:revision>2</cp:revision>
  <dcterms:created xsi:type="dcterms:W3CDTF">2018-05-16T15:14:00Z</dcterms:created>
  <dcterms:modified xsi:type="dcterms:W3CDTF">2018-05-16T15:14:00Z</dcterms:modified>
</cp:coreProperties>
</file>