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B9" w:rsidRDefault="007726AE" w:rsidP="0077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>Аркуш із друкарськими помилками</w:t>
      </w:r>
    </w:p>
    <w:p w:rsidR="007726AE" w:rsidRDefault="007726AE" w:rsidP="0077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монографії Дейнеки Т. А. на тему «</w:t>
      </w:r>
      <w:r w:rsidRPr="00C11A97">
        <w:rPr>
          <w:rFonts w:ascii="Times New Roman" w:hAnsi="Times New Roman" w:cs="Times New Roman"/>
          <w:sz w:val="28"/>
          <w:szCs w:val="28"/>
        </w:rPr>
        <w:t>СОЦІАЛЬНО-ЕКОНОМІЧНІ СУПЕРЕЧНОСТІ ПРОЦЕСУ ГЛОБАЛІЗАЦІЇ СВІТОВОГО СУСПІЛЬСТВА (політико-економічний аналіз)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26AE" w:rsidRDefault="007726AE" w:rsidP="0077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AE" w:rsidRDefault="007726AE" w:rsidP="00772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Сторінка 483 (додаток Л):</w:t>
      </w:r>
    </w:p>
    <w:p w:rsidR="007726AE" w:rsidRPr="007726AE" w:rsidRDefault="007726AE" w:rsidP="007726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[402]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[466]</w:t>
      </w:r>
      <w:r w:rsidRPr="007726AE">
        <w:rPr>
          <w:rFonts w:ascii="Times New Roman" w:hAnsi="Times New Roman" w:cs="Times New Roman"/>
          <w:sz w:val="28"/>
          <w:szCs w:val="28"/>
        </w:rPr>
        <w:t>;</w:t>
      </w:r>
    </w:p>
    <w:p w:rsidR="007726AE" w:rsidRPr="007726AE" w:rsidRDefault="007726AE" w:rsidP="007726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[403]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[469]</w:t>
      </w:r>
      <w:r w:rsidRPr="007726AE">
        <w:rPr>
          <w:rFonts w:ascii="Times New Roman" w:hAnsi="Times New Roman" w:cs="Times New Roman"/>
          <w:sz w:val="28"/>
          <w:szCs w:val="28"/>
        </w:rPr>
        <w:t>.</w:t>
      </w:r>
    </w:p>
    <w:p w:rsidR="00FD5466" w:rsidRDefault="00FD5466" w:rsidP="00FD5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466">
        <w:rPr>
          <w:rFonts w:ascii="Times New Roman" w:hAnsi="Times New Roman" w:cs="Times New Roman"/>
          <w:sz w:val="28"/>
          <w:szCs w:val="28"/>
        </w:rPr>
        <w:t>. Сторінка 48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54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продовження </w:t>
      </w:r>
      <w:r w:rsidRPr="00FD5466">
        <w:rPr>
          <w:rFonts w:ascii="Times New Roman" w:hAnsi="Times New Roman" w:cs="Times New Roman"/>
          <w:sz w:val="28"/>
          <w:szCs w:val="28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5466">
        <w:rPr>
          <w:rFonts w:ascii="Times New Roman" w:hAnsi="Times New Roman" w:cs="Times New Roman"/>
          <w:sz w:val="28"/>
          <w:szCs w:val="28"/>
        </w:rPr>
        <w:t xml:space="preserve"> Л):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[409]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[462]</w:t>
      </w:r>
      <w:r w:rsidRPr="007726AE">
        <w:rPr>
          <w:rFonts w:ascii="Times New Roman" w:hAnsi="Times New Roman" w:cs="Times New Roman"/>
          <w:sz w:val="28"/>
          <w:szCs w:val="28"/>
        </w:rPr>
        <w:t>;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[405]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[403]</w:t>
      </w:r>
      <w:r w:rsidRPr="007726AE">
        <w:rPr>
          <w:rFonts w:ascii="Times New Roman" w:hAnsi="Times New Roman" w:cs="Times New Roman"/>
          <w:sz w:val="28"/>
          <w:szCs w:val="28"/>
        </w:rPr>
        <w:t>.</w:t>
      </w:r>
    </w:p>
    <w:p w:rsidR="00FD5466" w:rsidRDefault="00FD5466" w:rsidP="00FD5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5466">
        <w:rPr>
          <w:rFonts w:ascii="Times New Roman" w:hAnsi="Times New Roman" w:cs="Times New Roman"/>
          <w:sz w:val="28"/>
          <w:szCs w:val="28"/>
        </w:rPr>
        <w:t>. Сторінка 48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54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продовження </w:t>
      </w:r>
      <w:r w:rsidRPr="00FD5466">
        <w:rPr>
          <w:rFonts w:ascii="Times New Roman" w:hAnsi="Times New Roman" w:cs="Times New Roman"/>
          <w:sz w:val="28"/>
          <w:szCs w:val="28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5466">
        <w:rPr>
          <w:rFonts w:ascii="Times New Roman" w:hAnsi="Times New Roman" w:cs="Times New Roman"/>
          <w:sz w:val="28"/>
          <w:szCs w:val="28"/>
        </w:rPr>
        <w:t xml:space="preserve"> Л):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[406]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[421]</w:t>
      </w:r>
      <w:r w:rsidRPr="007726AE">
        <w:rPr>
          <w:rFonts w:ascii="Times New Roman" w:hAnsi="Times New Roman" w:cs="Times New Roman"/>
          <w:sz w:val="28"/>
          <w:szCs w:val="28"/>
        </w:rPr>
        <w:t>;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[407]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[398]</w:t>
      </w:r>
      <w:r w:rsidRPr="007726AE">
        <w:rPr>
          <w:rFonts w:ascii="Times New Roman" w:hAnsi="Times New Roman" w:cs="Times New Roman"/>
          <w:sz w:val="28"/>
          <w:szCs w:val="28"/>
        </w:rPr>
        <w:t>.</w:t>
      </w:r>
    </w:p>
    <w:p w:rsidR="00FD5466" w:rsidRDefault="00FD5466" w:rsidP="00FD5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5466">
        <w:rPr>
          <w:rFonts w:ascii="Times New Roman" w:hAnsi="Times New Roman" w:cs="Times New Roman"/>
          <w:sz w:val="28"/>
          <w:szCs w:val="28"/>
        </w:rPr>
        <w:t>. Сторінка 48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54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продовження </w:t>
      </w:r>
      <w:r w:rsidRPr="00FD5466">
        <w:rPr>
          <w:rFonts w:ascii="Times New Roman" w:hAnsi="Times New Roman" w:cs="Times New Roman"/>
          <w:sz w:val="28"/>
          <w:szCs w:val="28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5466">
        <w:rPr>
          <w:rFonts w:ascii="Times New Roman" w:hAnsi="Times New Roman" w:cs="Times New Roman"/>
          <w:sz w:val="28"/>
          <w:szCs w:val="28"/>
        </w:rPr>
        <w:t xml:space="preserve"> Л):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посилання на використане джерело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[408]</w:t>
      </w:r>
      <w:r w:rsidRPr="007726AE">
        <w:rPr>
          <w:rFonts w:ascii="Times New Roman" w:hAnsi="Times New Roman" w:cs="Times New Roman"/>
          <w:sz w:val="28"/>
          <w:szCs w:val="28"/>
        </w:rPr>
        <w:t xml:space="preserve"> 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[404]</w:t>
      </w:r>
      <w:r w:rsidRPr="007726AE">
        <w:rPr>
          <w:rFonts w:ascii="Times New Roman" w:hAnsi="Times New Roman" w:cs="Times New Roman"/>
          <w:sz w:val="28"/>
          <w:szCs w:val="28"/>
        </w:rPr>
        <w:t>.</w:t>
      </w:r>
    </w:p>
    <w:p w:rsidR="00FD5466" w:rsidRDefault="00FD5466" w:rsidP="00FD5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Сторінка 511</w:t>
      </w:r>
      <w:r w:rsidRPr="00FD5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субтитул</w:t>
      </w:r>
      <w:proofErr w:type="spellEnd"/>
      <w:r w:rsidRPr="00FD5466">
        <w:rPr>
          <w:rFonts w:ascii="Times New Roman" w:hAnsi="Times New Roman" w:cs="Times New Roman"/>
          <w:sz w:val="28"/>
          <w:szCs w:val="28"/>
        </w:rPr>
        <w:t>):</w:t>
      </w:r>
    </w:p>
    <w:p w:rsidR="00FD5466" w:rsidRPr="007726AE" w:rsidRDefault="00FD5466" w:rsidP="00FD54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AE">
        <w:rPr>
          <w:rFonts w:ascii="Times New Roman" w:hAnsi="Times New Roman" w:cs="Times New Roman"/>
          <w:sz w:val="28"/>
          <w:szCs w:val="28"/>
        </w:rPr>
        <w:t xml:space="preserve">замість </w:t>
      </w:r>
      <w:r>
        <w:rPr>
          <w:rFonts w:ascii="Times New Roman" w:hAnsi="Times New Roman" w:cs="Times New Roman"/>
          <w:sz w:val="28"/>
          <w:szCs w:val="28"/>
        </w:rPr>
        <w:t>індексу</w:t>
      </w:r>
      <w:r w:rsidRPr="007726AE">
        <w:rPr>
          <w:rFonts w:ascii="Times New Roman" w:hAnsi="Times New Roman" w:cs="Times New Roman"/>
          <w:sz w:val="28"/>
          <w:szCs w:val="28"/>
        </w:rPr>
        <w:t xml:space="preserve">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03680</w:t>
      </w:r>
      <w:r w:rsidRPr="0077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ДВНЗ «Київський національний економічний університет імені Вадима Гетьмана» </w:t>
      </w:r>
      <w:r w:rsidRPr="007726AE">
        <w:rPr>
          <w:rFonts w:ascii="Times New Roman" w:hAnsi="Times New Roman" w:cs="Times New Roman"/>
          <w:sz w:val="28"/>
          <w:szCs w:val="28"/>
        </w:rPr>
        <w:t xml:space="preserve">– має бути </w:t>
      </w:r>
      <w:r w:rsidRPr="00FD5466">
        <w:rPr>
          <w:rFonts w:ascii="Times New Roman" w:hAnsi="Times New Roman" w:cs="Times New Roman"/>
          <w:sz w:val="28"/>
          <w:szCs w:val="28"/>
          <w:u w:val="single"/>
        </w:rPr>
        <w:t>03057</w:t>
      </w:r>
      <w:r w:rsidRPr="007726AE">
        <w:rPr>
          <w:rFonts w:ascii="Times New Roman" w:hAnsi="Times New Roman" w:cs="Times New Roman"/>
          <w:sz w:val="28"/>
          <w:szCs w:val="28"/>
        </w:rPr>
        <w:t>.</w:t>
      </w:r>
    </w:p>
    <w:p w:rsidR="007726AE" w:rsidRDefault="007726AE" w:rsidP="00772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6AE" w:rsidRDefault="007726AE" w:rsidP="0077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AE" w:rsidRPr="007726AE" w:rsidRDefault="007726AE" w:rsidP="00772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26AE" w:rsidRPr="007726AE" w:rsidSect="00A05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5CB"/>
    <w:multiLevelType w:val="hybridMultilevel"/>
    <w:tmpl w:val="78085424"/>
    <w:lvl w:ilvl="0" w:tplc="F6108814">
      <w:start w:val="1"/>
      <w:numFmt w:val="bullet"/>
      <w:lvlText w:val="―"/>
      <w:lvlJc w:val="left"/>
      <w:pPr>
        <w:ind w:left="1429" w:hanging="360"/>
      </w:pPr>
      <w:rPr>
        <w:rFonts w:ascii="Arial Narrow" w:hAnsi="Arial Narro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26AE"/>
    <w:rsid w:val="000671A8"/>
    <w:rsid w:val="00097AEC"/>
    <w:rsid w:val="004C2532"/>
    <w:rsid w:val="004F0548"/>
    <w:rsid w:val="007726AE"/>
    <w:rsid w:val="00A051B9"/>
    <w:rsid w:val="00B830A6"/>
    <w:rsid w:val="00FD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ryduch</dc:creator>
  <cp:lastModifiedBy>ryduch</cp:lastModifiedBy>
  <cp:revision>1</cp:revision>
  <dcterms:created xsi:type="dcterms:W3CDTF">2018-06-04T12:55:00Z</dcterms:created>
  <dcterms:modified xsi:type="dcterms:W3CDTF">2018-06-05T06:03:00Z</dcterms:modified>
</cp:coreProperties>
</file>