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93" w:rsidRDefault="00CB3D44" w:rsidP="0087629C">
      <w:pPr>
        <w:spacing w:after="0" w:line="211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ДОЦІЛЬНІСТЬ УВЕДЕННЯ </w:t>
      </w:r>
      <w:r w:rsidR="0087629C">
        <w:rPr>
          <w:rFonts w:ascii="Times New Roman" w:hAnsi="Times New Roman" w:cs="Times New Roman"/>
          <w:b/>
          <w:sz w:val="20"/>
          <w:szCs w:val="20"/>
          <w:lang w:val="uk-UA"/>
        </w:rPr>
        <w:t xml:space="preserve">ПОРОШКУ </w:t>
      </w:r>
      <w:r w:rsidR="00245FF3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="0087629C">
        <w:rPr>
          <w:rFonts w:ascii="Times New Roman" w:hAnsi="Times New Roman" w:cs="Times New Roman"/>
          <w:b/>
          <w:sz w:val="20"/>
          <w:szCs w:val="20"/>
          <w:lang w:val="uk-UA"/>
        </w:rPr>
        <w:t>З КОРЕНЯ КУЛЬБАБИ У ВИРОБИ З КЕКСОВОГО ТІСТА</w:t>
      </w:r>
    </w:p>
    <w:p w:rsidR="002D3676" w:rsidRDefault="002D3676" w:rsidP="0087629C">
      <w:pPr>
        <w:spacing w:after="0" w:line="211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D3676" w:rsidRPr="002D3676" w:rsidRDefault="002D3676" w:rsidP="002D36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1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val="en-US" w:eastAsia="ru-RU"/>
        </w:rPr>
      </w:pPr>
      <w:r w:rsidRPr="00245FF3">
        <w:rPr>
          <w:rFonts w:ascii="Times New Roman" w:eastAsia="Times New Roman" w:hAnsi="Times New Roman" w:cs="Times New Roman"/>
          <w:b/>
          <w:color w:val="222222"/>
          <w:sz w:val="20"/>
          <w:szCs w:val="20"/>
          <w:lang w:val="en-US" w:eastAsia="ru-RU"/>
        </w:rPr>
        <w:t>THE PURPOSE OF INTRODUCING POWDER FROM TUBER ROOT IN PRODUCTS FROM CAKE D</w:t>
      </w:r>
      <w:r w:rsidR="00EF3B32">
        <w:rPr>
          <w:rFonts w:ascii="Times New Roman" w:eastAsia="Times New Roman" w:hAnsi="Times New Roman" w:cs="Times New Roman"/>
          <w:b/>
          <w:color w:val="222222"/>
          <w:sz w:val="20"/>
          <w:szCs w:val="20"/>
          <w:lang w:val="uk-UA" w:eastAsia="ru-RU"/>
        </w:rPr>
        <w:t>О</w:t>
      </w:r>
      <w:r w:rsidR="00EF3B32">
        <w:rPr>
          <w:rFonts w:ascii="Times New Roman" w:eastAsia="Times New Roman" w:hAnsi="Times New Roman" w:cs="Times New Roman"/>
          <w:b/>
          <w:color w:val="222222"/>
          <w:sz w:val="20"/>
          <w:szCs w:val="20"/>
          <w:lang w:val="en-US" w:eastAsia="ru-RU"/>
        </w:rPr>
        <w:t>UGH</w:t>
      </w:r>
    </w:p>
    <w:p w:rsidR="002D3676" w:rsidRPr="002D3676" w:rsidRDefault="002D3676" w:rsidP="0087629C">
      <w:pPr>
        <w:spacing w:after="0" w:line="211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7629C" w:rsidRDefault="00A542CC" w:rsidP="00EF3B32">
      <w:pPr>
        <w:spacing w:after="0" w:line="211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Н.В.Олійник</w:t>
      </w:r>
      <w:r w:rsidR="003435AB">
        <w:rPr>
          <w:rFonts w:ascii="Times New Roman" w:hAnsi="Times New Roman" w:cs="Times New Roman"/>
          <w:b/>
          <w:sz w:val="20"/>
          <w:szCs w:val="20"/>
          <w:lang w:val="uk-UA"/>
        </w:rPr>
        <w:t>, к.т.н., доцент (ВНЗ Укоопспілки «ПУЕТ»)</w:t>
      </w:r>
    </w:p>
    <w:p w:rsidR="004C334F" w:rsidRDefault="004C334F" w:rsidP="00EF3B32">
      <w:pPr>
        <w:spacing w:after="0" w:line="211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37A06" w:rsidRDefault="00245FF3" w:rsidP="00437A06">
      <w:pPr>
        <w:spacing w:after="0" w:line="211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Т</w:t>
      </w:r>
      <w:r w:rsidR="002D3676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Г</w:t>
      </w:r>
      <w:r w:rsidR="002D3676">
        <w:rPr>
          <w:rFonts w:ascii="Times New Roman" w:hAnsi="Times New Roman" w:cs="Times New Roman"/>
          <w:b/>
          <w:sz w:val="20"/>
          <w:szCs w:val="20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Бульдович</w:t>
      </w:r>
      <w:proofErr w:type="spellEnd"/>
      <w:r w:rsidR="002D3676">
        <w:rPr>
          <w:rFonts w:ascii="Times New Roman" w:hAnsi="Times New Roman" w:cs="Times New Roman"/>
          <w:b/>
          <w:sz w:val="20"/>
          <w:szCs w:val="20"/>
          <w:lang w:val="uk-UA"/>
        </w:rPr>
        <w:t xml:space="preserve">, магістрант </w:t>
      </w:r>
      <w:r w:rsidR="00437A06">
        <w:rPr>
          <w:rFonts w:ascii="Times New Roman" w:hAnsi="Times New Roman" w:cs="Times New Roman"/>
          <w:b/>
          <w:sz w:val="20"/>
          <w:szCs w:val="20"/>
          <w:lang w:val="uk-UA"/>
        </w:rPr>
        <w:t>(ВНЗ Укоопспілки «ПУЕТ»)</w:t>
      </w:r>
    </w:p>
    <w:p w:rsidR="002D3676" w:rsidRDefault="002D3676" w:rsidP="00437A06">
      <w:pPr>
        <w:spacing w:after="0" w:line="211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63B27" w:rsidRPr="00217C78" w:rsidRDefault="009226BA" w:rsidP="00661F0D">
      <w:pPr>
        <w:spacing w:after="0" w:line="211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17C7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У сучасному світі, серед цілої низки зовнішніх факторів</w:t>
      </w:r>
      <w:r w:rsidR="00217C7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,</w:t>
      </w:r>
      <w:r w:rsidRPr="00217C7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що негативно впливають на організм людини: погіршення екологічних умов, малорухомий спосіб життя, неправильне харчування, все частіше виникають захворювання пов’язані з нестачею в організмі корисних речовин. </w:t>
      </w:r>
      <w:r w:rsidRP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Зважаючи на цей фактор, у</w:t>
      </w:r>
      <w:r w:rsidR="00AE009C" w:rsidRP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P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всьому</w:t>
      </w:r>
      <w:r w:rsid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P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світі</w:t>
      </w:r>
      <w:r w:rsid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P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набирає</w:t>
      </w:r>
      <w:r w:rsid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P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обертів</w:t>
      </w:r>
      <w:r w:rsid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P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тенденція з розробки</w:t>
      </w:r>
      <w:r w:rsid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P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продуктів</w:t>
      </w:r>
      <w:r w:rsid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P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функціонального</w:t>
      </w:r>
      <w:r w:rsid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P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призначення.</w:t>
      </w:r>
    </w:p>
    <w:p w:rsidR="009226BA" w:rsidRPr="00217C78" w:rsidRDefault="009226BA" w:rsidP="00661F0D">
      <w:pPr>
        <w:spacing w:after="0" w:line="211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17C7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Аналіз хімічного складу та харчової цінності борошняних кондитерських виробів свідчить, що переважна більшість з них не відповідає вимогам </w:t>
      </w:r>
      <w:proofErr w:type="spellStart"/>
      <w:r w:rsidRPr="00217C7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нутріціології</w:t>
      </w:r>
      <w:proofErr w:type="spellEnd"/>
      <w:r w:rsidRPr="00217C7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 Незбалансованість складу борошняних кондитерських виробів пов'язана з високим вмістом жирів, вуглеводів та відносно низьким – білків, харчових волокон, ненасичених жирних кислот, вітамінів. Однією з причин такого дисбалансу є виробництво харчовою промисловістю продуктів, які не забезпечують відповідність рекомендованим нормам раціонального харчування за показниками харчової та біологічної цінності</w:t>
      </w:r>
      <w:r w:rsidR="00B63B27" w:rsidRPr="00217C7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</w:p>
    <w:p w:rsidR="00661F0D" w:rsidRDefault="00B63B27" w:rsidP="00661F0D">
      <w:pPr>
        <w:shd w:val="clear" w:color="auto" w:fill="FFFFFF"/>
        <w:spacing w:after="0" w:line="211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</w:pPr>
      <w:r w:rsidRPr="00217C7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Одним із напрямів підвищення харчової цінності та створення борошняних кондитерських виробів заданих складів і властивостей є використання різних видів нетрадиційної сировини.</w:t>
      </w:r>
      <w:r w:rsidR="00F037F4" w:rsidRPr="00217C78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Зацікавленість у цьому плані викликає кульбаба.</w:t>
      </w:r>
      <w:r w:rsidR="00AE009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661F0D" w:rsidRPr="00217C78">
        <w:rPr>
          <w:rFonts w:ascii="Times New Roman" w:eastAsia="Times New Roman" w:hAnsi="Times New Roman" w:cs="Times New Roman"/>
          <w:color w:val="000000" w:themeColor="text1"/>
          <w:spacing w:val="10"/>
          <w:sz w:val="20"/>
          <w:szCs w:val="20"/>
          <w:lang w:val="uk-UA" w:eastAsia="ru-RU"/>
        </w:rPr>
        <w:t xml:space="preserve">Кульбаба була популярною рослиною протягом тисячоліть, і її цілющі властивості були використані при лікуванні різних захворювань і станів здоров'я. </w:t>
      </w:r>
      <w:r w:rsidR="00661F0D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Всі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="00661F0D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частини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="00661F0D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кульбаби – джерело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="00661F0D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вітамінів, мінералів та біологічно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="00661F0D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активних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="00661F0D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речовин. Корінь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="00661F0D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рослини до кінця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="00661F0D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літа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="00661F0D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накопичує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="00661F0D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багато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="00661F0D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корисних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="00661F0D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хімічних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="00661F0D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сполук, наприклад, селену, цинку і міді.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="00067375" w:rsidRPr="00217C78">
        <w:rPr>
          <w:rFonts w:ascii="Times New Roman" w:eastAsia="Times New Roman" w:hAnsi="Times New Roman" w:cs="Times New Roman"/>
          <w:color w:val="000000" w:themeColor="text1"/>
          <w:spacing w:val="10"/>
          <w:sz w:val="20"/>
          <w:szCs w:val="20"/>
          <w:lang w:val="uk-UA" w:eastAsia="ru-RU"/>
        </w:rPr>
        <w:t>З</w:t>
      </w:r>
      <w:r w:rsidR="00067375" w:rsidRPr="00217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астосування кореня кульбаби позбавляє від </w:t>
      </w:r>
      <w:r w:rsidR="00F338B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різних </w:t>
      </w:r>
      <w:r w:rsidR="00067375" w:rsidRPr="00217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захворювань</w:t>
      </w:r>
      <w:r w:rsidR="00F338B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.</w:t>
      </w:r>
    </w:p>
    <w:p w:rsidR="00D03C51" w:rsidRPr="00AE009C" w:rsidRDefault="00D03C51" w:rsidP="00D03C51">
      <w:pPr>
        <w:shd w:val="clear" w:color="auto" w:fill="FFFFFF"/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</w:pP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Найбільш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цінні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наступні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речовини, що</w:t>
      </w:r>
      <w:r w:rsidR="00AE009C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містяться в складі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кореневої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системи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кульбаби:</w:t>
      </w:r>
    </w:p>
    <w:p w:rsidR="00D03C51" w:rsidRPr="00AE009C" w:rsidRDefault="00D03C51" w:rsidP="00D03C51">
      <w:pPr>
        <w:numPr>
          <w:ilvl w:val="0"/>
          <w:numId w:val="1"/>
        </w:numPr>
        <w:tabs>
          <w:tab w:val="left" w:pos="851"/>
        </w:tabs>
        <w:spacing w:after="0" w:line="211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</w:pP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інулін, знижує</w:t>
      </w:r>
      <w:r w:rsidR="00AE009C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рівень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цукру в крові, зміцнює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імунну систему, відновлює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печінку;</w:t>
      </w:r>
    </w:p>
    <w:p w:rsidR="00D03C51" w:rsidRPr="00AE009C" w:rsidRDefault="00D03C51" w:rsidP="00D03C51">
      <w:pPr>
        <w:numPr>
          <w:ilvl w:val="0"/>
          <w:numId w:val="1"/>
        </w:numPr>
        <w:tabs>
          <w:tab w:val="left" w:pos="851"/>
        </w:tabs>
        <w:spacing w:after="0" w:line="211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</w:pP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холін, захищає</w:t>
      </w:r>
      <w:r w:rsidR="00AE009C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печінку</w:t>
      </w:r>
      <w:r w:rsidR="00AE009C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від</w:t>
      </w:r>
      <w:r w:rsidR="00AE009C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переродження, знижує холестерин;</w:t>
      </w:r>
    </w:p>
    <w:p w:rsidR="00D03C51" w:rsidRPr="00AE009C" w:rsidRDefault="00D03C51" w:rsidP="00D03C51">
      <w:pPr>
        <w:numPr>
          <w:ilvl w:val="0"/>
          <w:numId w:val="1"/>
        </w:numPr>
        <w:tabs>
          <w:tab w:val="left" w:pos="851"/>
        </w:tabs>
        <w:spacing w:after="0" w:line="211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</w:pPr>
      <w:proofErr w:type="spellStart"/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тритерпенові</w:t>
      </w:r>
      <w:proofErr w:type="spellEnd"/>
      <w:r w:rsidR="00AE009C"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кислоти, що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володіють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антимікробною і протизапальною</w:t>
      </w:r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  <w:r w:rsidRP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дією;</w:t>
      </w:r>
    </w:p>
    <w:p w:rsidR="00D03C51" w:rsidRPr="00D03C51" w:rsidRDefault="00D03C51" w:rsidP="00D03C51">
      <w:pPr>
        <w:numPr>
          <w:ilvl w:val="0"/>
          <w:numId w:val="1"/>
        </w:numPr>
        <w:tabs>
          <w:tab w:val="left" w:pos="851"/>
        </w:tabs>
        <w:spacing w:after="0" w:line="211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proofErr w:type="gram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</w:t>
      </w:r>
      <w:proofErr w:type="gramEnd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іркота</w:t>
      </w:r>
      <w:proofErr w:type="spellEnd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що</w:t>
      </w:r>
      <w:proofErr w:type="spellEnd"/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стимулює</w:t>
      </w:r>
      <w:proofErr w:type="spellEnd"/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виділення</w:t>
      </w:r>
      <w:proofErr w:type="spellEnd"/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шлункового</w:t>
      </w:r>
      <w:proofErr w:type="spellEnd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соку і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жовчі</w:t>
      </w:r>
      <w:proofErr w:type="spellEnd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:rsidR="00D03C51" w:rsidRPr="00D03C51" w:rsidRDefault="00D03C51" w:rsidP="00D03C51">
      <w:pPr>
        <w:numPr>
          <w:ilvl w:val="0"/>
          <w:numId w:val="1"/>
        </w:numPr>
        <w:tabs>
          <w:tab w:val="left" w:pos="851"/>
        </w:tabs>
        <w:spacing w:after="0" w:line="211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жирні</w:t>
      </w:r>
      <w:proofErr w:type="spellEnd"/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кислоти</w:t>
      </w:r>
      <w:proofErr w:type="spellEnd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що</w:t>
      </w:r>
      <w:proofErr w:type="spellEnd"/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знижують</w:t>
      </w:r>
      <w:proofErr w:type="spellEnd"/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холестеринові</w:t>
      </w:r>
      <w:proofErr w:type="spellEnd"/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показники</w:t>
      </w:r>
      <w:proofErr w:type="spellEnd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:rsidR="00D03C51" w:rsidRPr="00D03C51" w:rsidRDefault="00D03C51" w:rsidP="00D03C51">
      <w:pPr>
        <w:numPr>
          <w:ilvl w:val="0"/>
          <w:numId w:val="1"/>
        </w:numPr>
        <w:tabs>
          <w:tab w:val="left" w:pos="851"/>
        </w:tabs>
        <w:spacing w:after="0" w:line="211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стерін</w:t>
      </w:r>
      <w:proofErr w:type="spellEnd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надає</w:t>
      </w:r>
      <w:proofErr w:type="spellEnd"/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жовчогінний</w:t>
      </w:r>
      <w:proofErr w:type="spellEnd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і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сечогінний</w:t>
      </w:r>
      <w:proofErr w:type="spellEnd"/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ефект</w:t>
      </w:r>
      <w:proofErr w:type="spellEnd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знижує</w:t>
      </w:r>
      <w:proofErr w:type="spellEnd"/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ризик</w:t>
      </w:r>
      <w:proofErr w:type="spellEnd"/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інсульту</w:t>
      </w:r>
      <w:proofErr w:type="spellEnd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інфаркту</w:t>
      </w:r>
      <w:proofErr w:type="spellEnd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раку;</w:t>
      </w:r>
    </w:p>
    <w:p w:rsidR="00D03C51" w:rsidRPr="00D03C51" w:rsidRDefault="00D03C51" w:rsidP="00D03C51">
      <w:pPr>
        <w:numPr>
          <w:ilvl w:val="0"/>
          <w:numId w:val="1"/>
        </w:numPr>
        <w:tabs>
          <w:tab w:val="left" w:pos="851"/>
        </w:tabs>
        <w:spacing w:after="0" w:line="211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каротиноїди</w:t>
      </w:r>
      <w:proofErr w:type="spellEnd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нормалізують</w:t>
      </w:r>
      <w:proofErr w:type="spellEnd"/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обмінні</w:t>
      </w:r>
      <w:proofErr w:type="spellEnd"/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процеси в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організмі</w:t>
      </w:r>
      <w:proofErr w:type="spellEnd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поліпшують</w:t>
      </w:r>
      <w:proofErr w:type="spellEnd"/>
      <w:r w:rsidR="00AE00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зір</w:t>
      </w:r>
      <w:proofErr w:type="spellEnd"/>
      <w:r w:rsidRPr="00D03C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D22C9D" w:rsidRDefault="008107B7" w:rsidP="00D22C9D">
      <w:pPr>
        <w:spacing w:after="0" w:line="211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D22C9D">
        <w:rPr>
          <w:rFonts w:ascii="Times New Roman" w:hAnsi="Times New Roman"/>
          <w:sz w:val="20"/>
          <w:szCs w:val="20"/>
          <w:lang w:val="uk-UA"/>
        </w:rPr>
        <w:t>При роз</w:t>
      </w:r>
      <w:bookmarkStart w:id="0" w:name="_GoBack"/>
      <w:bookmarkEnd w:id="0"/>
      <w:r w:rsidRPr="00D22C9D">
        <w:rPr>
          <w:rFonts w:ascii="Times New Roman" w:hAnsi="Times New Roman"/>
          <w:sz w:val="20"/>
          <w:szCs w:val="20"/>
          <w:lang w:val="uk-UA"/>
        </w:rPr>
        <w:t>робці  нової  рецептури виробів із кексового тіста за продукт-аналог обрано рецептуру № 82 Збірника рецептур борошняних кондитерських і булочних виробів для підприємств ресторанного господарства</w:t>
      </w:r>
      <w:r w:rsidR="00D22C9D" w:rsidRPr="00D22C9D">
        <w:rPr>
          <w:rFonts w:ascii="Times New Roman" w:hAnsi="Times New Roman"/>
          <w:sz w:val="20"/>
          <w:szCs w:val="20"/>
          <w:lang w:val="uk-UA"/>
        </w:rPr>
        <w:t xml:space="preserve">. Для отримання продукту лікувальної та профілактичної дії, збагаченого баластними речовинами, добавку </w:t>
      </w:r>
      <w:r w:rsidR="003B7E1F">
        <w:rPr>
          <w:rFonts w:ascii="Times New Roman" w:hAnsi="Times New Roman"/>
          <w:sz w:val="20"/>
          <w:szCs w:val="20"/>
          <w:lang w:val="uk-UA"/>
        </w:rPr>
        <w:t>у вигляді порошку із кореня кульбаби</w:t>
      </w:r>
      <w:r w:rsidR="00D22C9D" w:rsidRPr="00D22C9D">
        <w:rPr>
          <w:rFonts w:ascii="Times New Roman" w:hAnsi="Times New Roman"/>
          <w:sz w:val="20"/>
          <w:szCs w:val="20"/>
          <w:lang w:val="uk-UA"/>
        </w:rPr>
        <w:t xml:space="preserve"> додавали у кількості 10, 15, 20 % до маси основної сировини. Перерахунок рецептури проводили за сухими речовинами.</w:t>
      </w:r>
    </w:p>
    <w:p w:rsidR="004676E5" w:rsidRDefault="003B7E1F" w:rsidP="004676E5">
      <w:pPr>
        <w:spacing w:after="0" w:line="211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3B7E1F">
        <w:rPr>
          <w:rFonts w:ascii="Times New Roman" w:hAnsi="Times New Roman"/>
          <w:sz w:val="20"/>
          <w:szCs w:val="20"/>
          <w:lang w:val="uk-UA"/>
        </w:rPr>
        <w:t>Відповідно до розробленої рецептури проводили визначення основних показників, які характеризують якість кексових виробів.</w:t>
      </w:r>
      <w:r w:rsidR="00D12DEA">
        <w:rPr>
          <w:rFonts w:ascii="Times New Roman" w:hAnsi="Times New Roman"/>
          <w:sz w:val="20"/>
          <w:szCs w:val="20"/>
          <w:lang w:val="uk-UA"/>
        </w:rPr>
        <w:t xml:space="preserve"> Одним із таких показників є вихід виробів.</w:t>
      </w:r>
      <w:r w:rsidR="00AE009C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676E5" w:rsidRPr="00937E14">
        <w:rPr>
          <w:rFonts w:ascii="Times New Roman" w:hAnsi="Times New Roman"/>
          <w:sz w:val="20"/>
          <w:szCs w:val="20"/>
          <w:lang w:val="uk-UA"/>
        </w:rPr>
        <w:t xml:space="preserve">При проведенні досліджень було встановлено, що внесення порошку із </w:t>
      </w:r>
      <w:r w:rsidR="004676E5">
        <w:rPr>
          <w:rFonts w:ascii="Times New Roman" w:hAnsi="Times New Roman"/>
          <w:sz w:val="20"/>
          <w:szCs w:val="20"/>
          <w:lang w:val="uk-UA"/>
        </w:rPr>
        <w:t>кореня кульбаби</w:t>
      </w:r>
      <w:r w:rsidR="004676E5" w:rsidRPr="00937E14">
        <w:rPr>
          <w:rFonts w:ascii="Times New Roman" w:hAnsi="Times New Roman"/>
          <w:sz w:val="20"/>
          <w:szCs w:val="20"/>
          <w:lang w:val="uk-UA"/>
        </w:rPr>
        <w:t xml:space="preserve"> призводить до підвищення виходу готових виробів</w:t>
      </w:r>
      <w:r w:rsidR="004676E5">
        <w:rPr>
          <w:rFonts w:ascii="Times New Roman" w:hAnsi="Times New Roman"/>
          <w:sz w:val="20"/>
          <w:szCs w:val="20"/>
          <w:lang w:val="uk-UA"/>
        </w:rPr>
        <w:t>.</w:t>
      </w:r>
      <w:r w:rsidR="004676E5" w:rsidRPr="00937E14">
        <w:rPr>
          <w:rFonts w:ascii="Times New Roman" w:hAnsi="Times New Roman"/>
          <w:sz w:val="20"/>
          <w:szCs w:val="20"/>
          <w:lang w:val="uk-UA"/>
        </w:rPr>
        <w:t xml:space="preserve"> На рисунку наведена діаграма залежності виходу готових виробів від кількості внесеної добавки</w:t>
      </w:r>
      <w:r w:rsidR="004676E5">
        <w:rPr>
          <w:rFonts w:ascii="Times New Roman" w:hAnsi="Times New Roman"/>
          <w:sz w:val="20"/>
          <w:szCs w:val="20"/>
          <w:lang w:val="uk-UA"/>
        </w:rPr>
        <w:t>.</w:t>
      </w:r>
    </w:p>
    <w:p w:rsidR="001D2F48" w:rsidRDefault="001D2F48" w:rsidP="004676E5">
      <w:pPr>
        <w:spacing w:after="0" w:line="211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3B7E1F" w:rsidRPr="003B7E1F" w:rsidRDefault="004D68E4" w:rsidP="003B7E1F">
      <w:pPr>
        <w:spacing w:after="0" w:line="211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Вихід, %</w:t>
      </w:r>
    </w:p>
    <w:p w:rsidR="003B7E1F" w:rsidRPr="00D22C9D" w:rsidRDefault="00A012A3" w:rsidP="00A012A3">
      <w:pPr>
        <w:spacing w:after="0" w:line="211" w:lineRule="auto"/>
        <w:ind w:firstLine="567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028825" cy="1409700"/>
            <wp:effectExtent l="19050" t="0" r="0" b="0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56682" w:rsidRPr="00456682" w:rsidRDefault="00456682" w:rsidP="00456682">
      <w:pPr>
        <w:spacing w:after="0" w:line="211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456682">
        <w:rPr>
          <w:rFonts w:ascii="Times New Roman" w:hAnsi="Times New Roman"/>
          <w:sz w:val="20"/>
          <w:szCs w:val="20"/>
          <w:lang w:val="uk-UA"/>
        </w:rPr>
        <w:t xml:space="preserve">Рис. Вплив порошку із </w:t>
      </w:r>
      <w:r>
        <w:rPr>
          <w:rFonts w:ascii="Times New Roman" w:hAnsi="Times New Roman"/>
          <w:sz w:val="20"/>
          <w:szCs w:val="20"/>
          <w:lang w:val="uk-UA"/>
        </w:rPr>
        <w:t>кореня кульбаби</w:t>
      </w:r>
      <w:r w:rsidRPr="00456682">
        <w:rPr>
          <w:rFonts w:ascii="Times New Roman" w:hAnsi="Times New Roman"/>
          <w:sz w:val="20"/>
          <w:szCs w:val="20"/>
          <w:lang w:val="uk-UA"/>
        </w:rPr>
        <w:t xml:space="preserve"> на вихід кексів</w:t>
      </w:r>
    </w:p>
    <w:p w:rsidR="00456682" w:rsidRPr="00456682" w:rsidRDefault="00456682" w:rsidP="004D68E4">
      <w:pPr>
        <w:spacing w:after="0" w:line="211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456682">
        <w:rPr>
          <w:rFonts w:ascii="Times New Roman" w:hAnsi="Times New Roman"/>
          <w:sz w:val="20"/>
          <w:szCs w:val="20"/>
          <w:lang w:val="uk-UA"/>
        </w:rPr>
        <w:t>1 – контроль (кекс «Столичний»);</w:t>
      </w:r>
    </w:p>
    <w:p w:rsidR="00456682" w:rsidRPr="00456682" w:rsidRDefault="00456682" w:rsidP="004D68E4">
      <w:pPr>
        <w:spacing w:after="0" w:line="211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456682">
        <w:rPr>
          <w:rFonts w:ascii="Times New Roman" w:hAnsi="Times New Roman"/>
          <w:sz w:val="20"/>
          <w:szCs w:val="20"/>
          <w:lang w:val="uk-UA"/>
        </w:rPr>
        <w:t>2</w:t>
      </w:r>
      <w:r w:rsidRPr="00456682">
        <w:rPr>
          <w:rFonts w:ascii="Times New Roman" w:hAnsi="Times New Roman"/>
          <w:sz w:val="20"/>
          <w:szCs w:val="20"/>
          <w:lang w:val="uk-UA"/>
        </w:rPr>
        <w:softHyphen/>
        <w:t xml:space="preserve"> – кекс із заміною 5% пшеничного борошна ;</w:t>
      </w:r>
    </w:p>
    <w:p w:rsidR="00456682" w:rsidRPr="00456682" w:rsidRDefault="00456682" w:rsidP="004D68E4">
      <w:pPr>
        <w:spacing w:after="0" w:line="211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456682">
        <w:rPr>
          <w:rFonts w:ascii="Times New Roman" w:hAnsi="Times New Roman"/>
          <w:sz w:val="20"/>
          <w:szCs w:val="20"/>
          <w:lang w:val="uk-UA"/>
        </w:rPr>
        <w:t>3 – кекс із заміною 10% пшеничного борошна;</w:t>
      </w:r>
    </w:p>
    <w:p w:rsidR="00456682" w:rsidRPr="00456682" w:rsidRDefault="00456682" w:rsidP="004D68E4">
      <w:pPr>
        <w:spacing w:after="0" w:line="211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456682">
        <w:rPr>
          <w:rFonts w:ascii="Times New Roman" w:hAnsi="Times New Roman"/>
          <w:sz w:val="20"/>
          <w:szCs w:val="20"/>
          <w:lang w:val="uk-UA"/>
        </w:rPr>
        <w:t>4 – кекс із заміною 15% пшеничного борошна</w:t>
      </w:r>
    </w:p>
    <w:p w:rsidR="00456682" w:rsidRDefault="00456682" w:rsidP="00456682">
      <w:pPr>
        <w:spacing w:after="0" w:line="216" w:lineRule="auto"/>
        <w:ind w:firstLine="567"/>
        <w:jc w:val="both"/>
        <w:rPr>
          <w:rFonts w:ascii="Times New Roman" w:hAnsi="Times New Roman"/>
          <w:lang w:val="uk-UA"/>
        </w:rPr>
      </w:pPr>
    </w:p>
    <w:p w:rsidR="0037034A" w:rsidRDefault="00667531" w:rsidP="0037034A">
      <w:pPr>
        <w:spacing w:after="0" w:line="211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Збільшення виходу готових кексових виробів</w:t>
      </w:r>
      <w:r w:rsidR="0037034A" w:rsidRPr="00666BDC">
        <w:rPr>
          <w:rFonts w:ascii="Times New Roman" w:hAnsi="Times New Roman"/>
          <w:sz w:val="20"/>
          <w:szCs w:val="20"/>
          <w:lang w:val="uk-UA"/>
        </w:rPr>
        <w:t xml:space="preserve"> можна пояснити тим, що порошок із </w:t>
      </w:r>
      <w:r w:rsidR="000679B4">
        <w:rPr>
          <w:rFonts w:ascii="Times New Roman" w:hAnsi="Times New Roman"/>
          <w:sz w:val="20"/>
          <w:szCs w:val="20"/>
          <w:lang w:val="uk-UA"/>
        </w:rPr>
        <w:t>кореня кульбаби</w:t>
      </w:r>
      <w:r w:rsidR="0037034A" w:rsidRPr="00666BDC">
        <w:rPr>
          <w:rFonts w:ascii="Times New Roman" w:hAnsi="Times New Roman"/>
          <w:sz w:val="20"/>
          <w:szCs w:val="20"/>
          <w:lang w:val="uk-UA"/>
        </w:rPr>
        <w:t xml:space="preserve">, який містить у своєму складі клітковину, має здатність </w:t>
      </w:r>
      <w:proofErr w:type="spellStart"/>
      <w:r w:rsidR="0037034A" w:rsidRPr="00666BDC">
        <w:rPr>
          <w:rFonts w:ascii="Times New Roman" w:hAnsi="Times New Roman"/>
          <w:sz w:val="20"/>
          <w:szCs w:val="20"/>
          <w:lang w:val="uk-UA"/>
        </w:rPr>
        <w:t>адсорбційно</w:t>
      </w:r>
      <w:proofErr w:type="spellEnd"/>
      <w:r w:rsidR="0037034A" w:rsidRPr="00666BDC">
        <w:rPr>
          <w:rFonts w:ascii="Times New Roman" w:hAnsi="Times New Roman"/>
          <w:sz w:val="20"/>
          <w:szCs w:val="20"/>
          <w:lang w:val="uk-UA"/>
        </w:rPr>
        <w:t xml:space="preserve"> зв’язувати і утримувати вологу. Зв</w:t>
      </w:r>
      <w:r w:rsidR="0037034A" w:rsidRPr="00666BDC">
        <w:rPr>
          <w:rFonts w:ascii="Times New Roman" w:hAnsi="Times New Roman"/>
          <w:sz w:val="20"/>
          <w:szCs w:val="20"/>
        </w:rPr>
        <w:t>’</w:t>
      </w:r>
      <w:r w:rsidR="0037034A" w:rsidRPr="00666BDC">
        <w:rPr>
          <w:rFonts w:ascii="Times New Roman" w:hAnsi="Times New Roman"/>
          <w:sz w:val="20"/>
          <w:szCs w:val="20"/>
          <w:lang w:val="uk-UA"/>
        </w:rPr>
        <w:t>язана волога, знаходячись у кексових виробах під час теплової обробки не вивільняється, а значить вихід готових виробів збільшується.</w:t>
      </w:r>
    </w:p>
    <w:p w:rsidR="00743D21" w:rsidRPr="00666BDC" w:rsidRDefault="00743D21" w:rsidP="0037034A">
      <w:pPr>
        <w:spacing w:after="0" w:line="211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Враховуючи вищезазначене</w:t>
      </w:r>
      <w:r w:rsidR="00667531">
        <w:rPr>
          <w:rFonts w:ascii="Times New Roman" w:hAnsi="Times New Roman"/>
          <w:sz w:val="20"/>
          <w:szCs w:val="20"/>
          <w:lang w:val="uk-UA"/>
        </w:rPr>
        <w:t>,</w:t>
      </w:r>
      <w:r w:rsidR="00AE009C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667531">
        <w:rPr>
          <w:rFonts w:ascii="Times New Roman" w:hAnsi="Times New Roman"/>
          <w:sz w:val="20"/>
          <w:szCs w:val="20"/>
          <w:lang w:val="uk-UA"/>
        </w:rPr>
        <w:t>д</w:t>
      </w:r>
      <w:r>
        <w:rPr>
          <w:rFonts w:ascii="Times New Roman" w:hAnsi="Times New Roman"/>
          <w:sz w:val="20"/>
          <w:szCs w:val="20"/>
          <w:lang w:val="uk-UA"/>
        </w:rPr>
        <w:t xml:space="preserve">одавання порошку кореня кульбаби до виробів </w:t>
      </w:r>
      <w:r w:rsidR="00C235BB">
        <w:rPr>
          <w:rFonts w:ascii="Times New Roman" w:hAnsi="Times New Roman"/>
          <w:sz w:val="20"/>
          <w:szCs w:val="20"/>
          <w:lang w:val="uk-UA"/>
        </w:rPr>
        <w:t>із кексового тіста</w:t>
      </w:r>
      <w:r w:rsidR="009D402D">
        <w:rPr>
          <w:rFonts w:ascii="Times New Roman" w:hAnsi="Times New Roman"/>
          <w:sz w:val="20"/>
          <w:szCs w:val="20"/>
          <w:lang w:val="uk-UA"/>
        </w:rPr>
        <w:t xml:space="preserve"> є доцільним тому, що</w:t>
      </w:r>
      <w:r w:rsidR="00C235BB">
        <w:rPr>
          <w:rFonts w:ascii="Times New Roman" w:hAnsi="Times New Roman"/>
          <w:sz w:val="20"/>
          <w:szCs w:val="20"/>
          <w:lang w:val="uk-UA"/>
        </w:rPr>
        <w:t xml:space="preserve"> не лише підвищує</w:t>
      </w:r>
      <w:r w:rsidR="009D402D">
        <w:rPr>
          <w:rFonts w:ascii="Times New Roman" w:hAnsi="Times New Roman"/>
          <w:sz w:val="20"/>
          <w:szCs w:val="20"/>
          <w:lang w:val="uk-UA"/>
        </w:rPr>
        <w:t>ться харчова</w:t>
      </w:r>
      <w:r w:rsidR="00C235BB">
        <w:rPr>
          <w:rFonts w:ascii="Times New Roman" w:hAnsi="Times New Roman"/>
          <w:sz w:val="20"/>
          <w:szCs w:val="20"/>
          <w:lang w:val="uk-UA"/>
        </w:rPr>
        <w:t xml:space="preserve"> та біологічн</w:t>
      </w:r>
      <w:r w:rsidR="009D402D">
        <w:rPr>
          <w:rFonts w:ascii="Times New Roman" w:hAnsi="Times New Roman"/>
          <w:sz w:val="20"/>
          <w:szCs w:val="20"/>
          <w:lang w:val="uk-UA"/>
        </w:rPr>
        <w:t>а</w:t>
      </w:r>
      <w:r w:rsidR="00C235BB">
        <w:rPr>
          <w:rFonts w:ascii="Times New Roman" w:hAnsi="Times New Roman"/>
          <w:sz w:val="20"/>
          <w:szCs w:val="20"/>
          <w:lang w:val="uk-UA"/>
        </w:rPr>
        <w:t xml:space="preserve"> цінність виробів, а також збільшує</w:t>
      </w:r>
      <w:r w:rsidR="009D402D">
        <w:rPr>
          <w:rFonts w:ascii="Times New Roman" w:hAnsi="Times New Roman"/>
          <w:sz w:val="20"/>
          <w:szCs w:val="20"/>
          <w:lang w:val="uk-UA"/>
        </w:rPr>
        <w:t>ться</w:t>
      </w:r>
      <w:r w:rsidR="00C235BB">
        <w:rPr>
          <w:rFonts w:ascii="Times New Roman" w:hAnsi="Times New Roman"/>
          <w:sz w:val="20"/>
          <w:szCs w:val="20"/>
          <w:lang w:val="uk-UA"/>
        </w:rPr>
        <w:t xml:space="preserve"> вихід, що тягне за собою зменшення витрат сиро</w:t>
      </w:r>
      <w:r w:rsidR="009D402D">
        <w:rPr>
          <w:rFonts w:ascii="Times New Roman" w:hAnsi="Times New Roman"/>
          <w:sz w:val="20"/>
          <w:szCs w:val="20"/>
          <w:lang w:val="uk-UA"/>
        </w:rPr>
        <w:t>в</w:t>
      </w:r>
      <w:r w:rsidR="00C235BB">
        <w:rPr>
          <w:rFonts w:ascii="Times New Roman" w:hAnsi="Times New Roman"/>
          <w:sz w:val="20"/>
          <w:szCs w:val="20"/>
          <w:lang w:val="uk-UA"/>
        </w:rPr>
        <w:t>ини, а це є в наш час не мало важливим.</w:t>
      </w:r>
    </w:p>
    <w:sectPr w:rsidR="00743D21" w:rsidRPr="00666BDC" w:rsidSect="00CA2DED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D16EF"/>
    <w:multiLevelType w:val="multilevel"/>
    <w:tmpl w:val="FB5CA1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D44"/>
    <w:rsid w:val="00067058"/>
    <w:rsid w:val="00067375"/>
    <w:rsid w:val="000679B4"/>
    <w:rsid w:val="001D2F48"/>
    <w:rsid w:val="001E5514"/>
    <w:rsid w:val="00217C78"/>
    <w:rsid w:val="00245FF3"/>
    <w:rsid w:val="002D3676"/>
    <w:rsid w:val="002D50E9"/>
    <w:rsid w:val="003435AB"/>
    <w:rsid w:val="0035178B"/>
    <w:rsid w:val="0037034A"/>
    <w:rsid w:val="003B7E1F"/>
    <w:rsid w:val="00437A06"/>
    <w:rsid w:val="00456682"/>
    <w:rsid w:val="004676E5"/>
    <w:rsid w:val="004C334F"/>
    <w:rsid w:val="004D68E4"/>
    <w:rsid w:val="004F7A25"/>
    <w:rsid w:val="005E59A4"/>
    <w:rsid w:val="00661F0D"/>
    <w:rsid w:val="00667531"/>
    <w:rsid w:val="006F0815"/>
    <w:rsid w:val="00743D21"/>
    <w:rsid w:val="008107B7"/>
    <w:rsid w:val="00845267"/>
    <w:rsid w:val="0087629C"/>
    <w:rsid w:val="009226BA"/>
    <w:rsid w:val="009D402D"/>
    <w:rsid w:val="009F7BA3"/>
    <w:rsid w:val="00A012A3"/>
    <w:rsid w:val="00A542CC"/>
    <w:rsid w:val="00AE009C"/>
    <w:rsid w:val="00B36203"/>
    <w:rsid w:val="00B63B27"/>
    <w:rsid w:val="00C235BB"/>
    <w:rsid w:val="00CA2DED"/>
    <w:rsid w:val="00CB3D44"/>
    <w:rsid w:val="00CE4A49"/>
    <w:rsid w:val="00D03C51"/>
    <w:rsid w:val="00D12DEA"/>
    <w:rsid w:val="00D22C9D"/>
    <w:rsid w:val="00EF3B32"/>
    <w:rsid w:val="00F037F4"/>
    <w:rsid w:val="00F33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D3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6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D3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6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F:\&#1084;&#1072;&#1075;&#1080;&#1089;&#1090;&#1077;&#1088;&#1089;&#1082;&#1080;&#1077;%202018\&#1089;&#1090;&#1072;&#1090;&#1100;&#1080;\&#1050;&#1085;&#1080;&#1075;&#1072;%20&#1074;&#1080;&#1093;&#1110;&#1076;.xlsx" TargetMode="External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ln>
          <a:solidFill>
            <a:schemeClr val="tx1"/>
          </a:solidFill>
        </a:ln>
      </c:spPr>
    </c:floor>
    <c:plotArea>
      <c:layout>
        <c:manualLayout>
          <c:layoutTarget val="inner"/>
          <c:xMode val="edge"/>
          <c:yMode val="edge"/>
          <c:x val="0.10808582818882376"/>
          <c:y val="3.8470728793309455E-2"/>
          <c:w val="0.84746981627296591"/>
          <c:h val="0.76928988043161273"/>
        </c:manualLayout>
      </c:layout>
      <c:bar3DChart>
        <c:barDir val="col"/>
        <c:grouping val="stacked"/>
        <c:ser>
          <c:idx val="0"/>
          <c:order val="0"/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dLbl>
              <c:idx val="0"/>
              <c:layout>
                <c:manualLayout>
                  <c:x val="1.6666666666666725E-2"/>
                  <c:y val="-0.37962962962963204"/>
                </c:manualLayout>
              </c:layout>
              <c:showVal val="1"/>
            </c:dLbl>
            <c:dLbl>
              <c:idx val="1"/>
              <c:layout>
                <c:manualLayout>
                  <c:x val="1.6666666666666725E-2"/>
                  <c:y val="-0.39351851851851882"/>
                </c:manualLayout>
              </c:layout>
              <c:showVal val="1"/>
            </c:dLbl>
            <c:dLbl>
              <c:idx val="2"/>
              <c:layout>
                <c:manualLayout>
                  <c:x val="1.3888888888888984E-2"/>
                  <c:y val="-0.37500000000000133"/>
                </c:manualLayout>
              </c:layout>
              <c:showVal val="1"/>
            </c:dLbl>
            <c:dLbl>
              <c:idx val="3"/>
              <c:layout>
                <c:manualLayout>
                  <c:x val="1.3888888888889079E-2"/>
                  <c:y val="-0.38425962379702538"/>
                </c:manualLayout>
              </c:layout>
              <c:showVal val="1"/>
            </c:dLbl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Ref>
              <c:f>Лист1!$A$2:$D$2</c:f>
              <c:numCache>
                <c:formatCode>General</c:formatCode>
                <c:ptCount val="4"/>
                <c:pt idx="0">
                  <c:v>90.3</c:v>
                </c:pt>
                <c:pt idx="1">
                  <c:v>90.7</c:v>
                </c:pt>
                <c:pt idx="2">
                  <c:v>91.3</c:v>
                </c:pt>
                <c:pt idx="3">
                  <c:v>91.5</c:v>
                </c:pt>
              </c:numCache>
            </c:numRef>
          </c:val>
        </c:ser>
        <c:shape val="box"/>
        <c:axId val="69326720"/>
        <c:axId val="69328256"/>
        <c:axId val="0"/>
      </c:bar3DChart>
      <c:catAx>
        <c:axId val="69326720"/>
        <c:scaling>
          <c:orientation val="minMax"/>
        </c:scaling>
        <c:axPos val="b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328256"/>
        <c:crosses val="autoZero"/>
        <c:auto val="1"/>
        <c:lblAlgn val="ctr"/>
        <c:lblOffset val="100"/>
      </c:catAx>
      <c:valAx>
        <c:axId val="69328256"/>
        <c:scaling>
          <c:orientation val="minMax"/>
          <c:max val="100"/>
          <c:min val="0"/>
        </c:scaling>
        <c:axPos val="l"/>
        <c:majorGridlines/>
        <c:numFmt formatCode="General" sourceLinked="1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326720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0.05625</cdr:x>
      <cdr:y>0.66667</cdr:y>
    </cdr:from>
    <cdr:to>
      <cdr:x>0.25625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57175" y="23050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0.28125</cdr:x>
      <cdr:y>0.88194</cdr:y>
    </cdr:from>
    <cdr:to>
      <cdr:x>0.825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285875" y="2619375"/>
          <a:ext cx="248602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l"/>
          <a:endParaRPr lang="ru-RU" sz="14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u_sas_msi</dc:creator>
  <cp:lastModifiedBy>Олийнык</cp:lastModifiedBy>
  <cp:revision>14</cp:revision>
  <dcterms:created xsi:type="dcterms:W3CDTF">2019-10-15T06:46:00Z</dcterms:created>
  <dcterms:modified xsi:type="dcterms:W3CDTF">2019-10-20T20:11:00Z</dcterms:modified>
</cp:coreProperties>
</file>