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D922"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sz w:val="20"/>
          <w:szCs w:val="20"/>
          <w:lang w:val="ru-RU"/>
        </w:rPr>
      </w:pPr>
    </w:p>
    <w:p w14:paraId="1654C492" w14:textId="77777777" w:rsidR="007139F6" w:rsidRPr="007139F6" w:rsidRDefault="007139F6" w:rsidP="007139F6">
      <w:pPr>
        <w:kinsoku w:val="0"/>
        <w:overflowPunct w:val="0"/>
        <w:autoSpaceDE w:val="0"/>
        <w:autoSpaceDN w:val="0"/>
        <w:adjustRightInd w:val="0"/>
        <w:spacing w:before="50" w:after="0" w:line="720" w:lineRule="auto"/>
        <w:ind w:left="1375" w:right="239" w:firstLine="934"/>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МІНІСТЕРСТВО ОСВІТИ І НАУКИ УКРАЇНИ НАЦІОНАЛЬНИЙ УНІВЕРСИТЕТ ХАРЧОВИХ ТЕХНОЛОГІЙ</w:t>
      </w:r>
    </w:p>
    <w:p w14:paraId="4D05D900"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b/>
          <w:bCs/>
          <w:sz w:val="20"/>
          <w:szCs w:val="20"/>
          <w:lang w:val="ru-RU"/>
        </w:rPr>
      </w:pPr>
    </w:p>
    <w:p w14:paraId="7462A52C" w14:textId="7BCB94AF" w:rsidR="007139F6" w:rsidRPr="007139F6" w:rsidRDefault="007139F6" w:rsidP="007139F6">
      <w:pPr>
        <w:kinsoku w:val="0"/>
        <w:overflowPunct w:val="0"/>
        <w:autoSpaceDE w:val="0"/>
        <w:autoSpaceDN w:val="0"/>
        <w:adjustRightInd w:val="0"/>
        <w:spacing w:after="0" w:line="20" w:lineRule="exact"/>
        <w:ind w:left="108"/>
        <w:rPr>
          <w:rFonts w:ascii="Times New Roman" w:hAnsi="Times New Roman" w:cs="Times New Roman"/>
          <w:sz w:val="2"/>
          <w:szCs w:val="2"/>
          <w:lang w:val="ru-RU"/>
        </w:rPr>
      </w:pPr>
      <w:r w:rsidRPr="007139F6">
        <w:rPr>
          <w:rFonts w:ascii="Times New Roman" w:hAnsi="Times New Roman" w:cs="Times New Roman"/>
          <w:noProof/>
          <w:sz w:val="2"/>
          <w:szCs w:val="2"/>
          <w:lang w:val="ru-RU"/>
        </w:rPr>
        <mc:AlternateContent>
          <mc:Choice Requires="wpg">
            <w:drawing>
              <wp:inline distT="0" distB="0" distL="0" distR="0" wp14:anchorId="62C1329E" wp14:editId="6DAC0869">
                <wp:extent cx="5778500" cy="12700"/>
                <wp:effectExtent l="9525" t="9525" r="1270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12700"/>
                          <a:chOff x="0" y="0"/>
                          <a:chExt cx="9100" cy="20"/>
                        </a:xfrm>
                      </wpg:grpSpPr>
                      <wps:wsp>
                        <wps:cNvPr id="3" name="Freeform 3"/>
                        <wps:cNvSpPr>
                          <a:spLocks/>
                        </wps:cNvSpPr>
                        <wps:spPr bwMode="auto">
                          <a:xfrm>
                            <a:off x="0" y="5"/>
                            <a:ext cx="9100" cy="20"/>
                          </a:xfrm>
                          <a:custGeom>
                            <a:avLst/>
                            <a:gdLst>
                              <a:gd name="T0" fmla="*/ 0 w 9100"/>
                              <a:gd name="T1" fmla="*/ 0 h 20"/>
                              <a:gd name="T2" fmla="*/ 9100 w 9100"/>
                              <a:gd name="T3" fmla="*/ 0 h 20"/>
                            </a:gdLst>
                            <a:ahLst/>
                            <a:cxnLst>
                              <a:cxn ang="0">
                                <a:pos x="T0" y="T1"/>
                              </a:cxn>
                              <a:cxn ang="0">
                                <a:pos x="T2" y="T3"/>
                              </a:cxn>
                            </a:cxnLst>
                            <a:rect l="0" t="0" r="r" b="b"/>
                            <a:pathLst>
                              <a:path w="9100" h="20">
                                <a:moveTo>
                                  <a:pt x="0" y="0"/>
                                </a:moveTo>
                                <a:lnTo>
                                  <a:pt x="9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50C70F" id="Группа 2" o:spid="_x0000_s1026" style="width:455pt;height:1pt;mso-position-horizontal-relative:char;mso-position-vertical-relative:line" coordsize="9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">
                <v:shape id="Freeform 3" o:spid="_x0000_s1027" style="position:absolute;top:5;width:9100;height:20;visibility:visible;mso-wrap-style:square;v-text-anchor:top" coordsize="9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" path="m,l9100,e" filled="f" strokeweight=".56pt">
                  <v:path arrowok="t" o:connecttype="custom" o:connectlocs="0,0;9100,0" o:connectangles="0,0"/>
                </v:shape>
                <w10:anchorlock/>
              </v:group>
            </w:pict>
          </mc:Fallback>
        </mc:AlternateContent>
      </w:r>
    </w:p>
    <w:p w14:paraId="07677077"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b/>
          <w:bCs/>
          <w:sz w:val="20"/>
          <w:szCs w:val="20"/>
          <w:lang w:val="ru-RU"/>
        </w:rPr>
      </w:pPr>
    </w:p>
    <w:p w14:paraId="265232DD" w14:textId="77777777" w:rsidR="007139F6" w:rsidRPr="007139F6" w:rsidRDefault="007139F6" w:rsidP="007139F6">
      <w:pPr>
        <w:kinsoku w:val="0"/>
        <w:overflowPunct w:val="0"/>
        <w:autoSpaceDE w:val="0"/>
        <w:autoSpaceDN w:val="0"/>
        <w:adjustRightInd w:val="0"/>
        <w:spacing w:before="221" w:after="0" w:line="360" w:lineRule="auto"/>
        <w:ind w:left="288" w:right="280"/>
        <w:jc w:val="center"/>
        <w:rPr>
          <w:rFonts w:ascii="Times New Roman" w:hAnsi="Times New Roman" w:cs="Times New Roman"/>
          <w:b/>
          <w:bCs/>
          <w:sz w:val="40"/>
          <w:szCs w:val="40"/>
          <w:lang w:val="ru-RU"/>
        </w:rPr>
      </w:pPr>
      <w:r w:rsidRPr="007139F6">
        <w:rPr>
          <w:rFonts w:ascii="Times New Roman" w:hAnsi="Times New Roman" w:cs="Times New Roman"/>
          <w:b/>
          <w:bCs/>
          <w:sz w:val="40"/>
          <w:szCs w:val="40"/>
          <w:lang w:val="ru-RU"/>
        </w:rPr>
        <w:t>МІЖНАРОДНА НАУКОВО­ПРАКТИЧНА КОНФЕРЕНЦІЯ</w:t>
      </w:r>
    </w:p>
    <w:p w14:paraId="3A761384"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b/>
          <w:bCs/>
          <w:sz w:val="48"/>
          <w:szCs w:val="48"/>
          <w:lang w:val="ru-RU"/>
        </w:rPr>
      </w:pPr>
    </w:p>
    <w:p w14:paraId="5ED77084" w14:textId="77777777" w:rsidR="007139F6" w:rsidRPr="007139F6" w:rsidRDefault="007139F6" w:rsidP="007139F6">
      <w:pPr>
        <w:kinsoku w:val="0"/>
        <w:overflowPunct w:val="0"/>
        <w:autoSpaceDE w:val="0"/>
        <w:autoSpaceDN w:val="0"/>
        <w:adjustRightInd w:val="0"/>
        <w:spacing w:after="0" w:line="360" w:lineRule="auto"/>
        <w:ind w:left="288" w:right="280"/>
        <w:jc w:val="center"/>
        <w:rPr>
          <w:rFonts w:ascii="Times New Roman" w:hAnsi="Times New Roman" w:cs="Times New Roman"/>
          <w:b/>
          <w:bCs/>
          <w:i/>
          <w:iCs/>
          <w:sz w:val="32"/>
          <w:szCs w:val="32"/>
          <w:lang w:val="ru-RU"/>
        </w:rPr>
      </w:pPr>
      <w:r w:rsidRPr="007139F6">
        <w:rPr>
          <w:rFonts w:ascii="Times New Roman" w:hAnsi="Times New Roman" w:cs="Times New Roman"/>
          <w:b/>
          <w:bCs/>
          <w:sz w:val="32"/>
          <w:szCs w:val="32"/>
          <w:lang w:val="ru-RU"/>
        </w:rPr>
        <w:t>„</w:t>
      </w:r>
      <w:r w:rsidRPr="007139F6">
        <w:rPr>
          <w:rFonts w:ascii="Times New Roman" w:hAnsi="Times New Roman" w:cs="Times New Roman"/>
          <w:b/>
          <w:bCs/>
          <w:i/>
          <w:iCs/>
          <w:sz w:val="32"/>
          <w:szCs w:val="32"/>
          <w:lang w:val="ru-RU"/>
        </w:rPr>
        <w:t>ОЗДОРОВЧІ ХАРЧОВІ ПРОДУКТИ ТА ДІЄТИЧНІ ДОБАВКИ: ТЕХНОЛОГІЇ, ЯКІСТЬ ТА БЕЗПЕКА”</w:t>
      </w:r>
    </w:p>
    <w:p w14:paraId="0A044F53"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b/>
          <w:bCs/>
          <w:i/>
          <w:iCs/>
          <w:sz w:val="30"/>
          <w:szCs w:val="30"/>
          <w:lang w:val="ru-RU"/>
        </w:rPr>
      </w:pPr>
    </w:p>
    <w:p w14:paraId="6263CEAF" w14:textId="77777777" w:rsidR="007139F6" w:rsidRPr="007139F6" w:rsidRDefault="007139F6" w:rsidP="007139F6">
      <w:pPr>
        <w:kinsoku w:val="0"/>
        <w:overflowPunct w:val="0"/>
        <w:autoSpaceDE w:val="0"/>
        <w:autoSpaceDN w:val="0"/>
        <w:adjustRightInd w:val="0"/>
        <w:spacing w:after="0" w:line="240" w:lineRule="auto"/>
        <w:ind w:left="217" w:right="280"/>
        <w:jc w:val="center"/>
        <w:rPr>
          <w:rFonts w:ascii="Times New Roman" w:hAnsi="Times New Roman" w:cs="Times New Roman"/>
          <w:b/>
          <w:bCs/>
          <w:sz w:val="28"/>
          <w:szCs w:val="28"/>
          <w:lang w:val="ru-RU"/>
        </w:rPr>
      </w:pPr>
      <w:r w:rsidRPr="007139F6">
        <w:rPr>
          <w:rFonts w:ascii="Times New Roman" w:hAnsi="Times New Roman" w:cs="Times New Roman"/>
          <w:b/>
          <w:bCs/>
          <w:sz w:val="28"/>
          <w:szCs w:val="28"/>
          <w:lang w:val="ru-RU"/>
        </w:rPr>
        <w:t>ЗБІРНИК МАТЕРІАЛІВ</w:t>
      </w:r>
    </w:p>
    <w:p w14:paraId="29FCFDDF"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b/>
          <w:bCs/>
          <w:sz w:val="30"/>
          <w:szCs w:val="30"/>
          <w:lang w:val="ru-RU"/>
        </w:rPr>
      </w:pPr>
    </w:p>
    <w:p w14:paraId="69A415DF" w14:textId="77777777" w:rsidR="007139F6" w:rsidRPr="007139F6" w:rsidRDefault="007139F6" w:rsidP="007139F6">
      <w:pPr>
        <w:kinsoku w:val="0"/>
        <w:overflowPunct w:val="0"/>
        <w:autoSpaceDE w:val="0"/>
        <w:autoSpaceDN w:val="0"/>
        <w:adjustRightInd w:val="0"/>
        <w:spacing w:after="0" w:line="240" w:lineRule="auto"/>
        <w:ind w:left="286" w:right="280"/>
        <w:jc w:val="center"/>
        <w:rPr>
          <w:rFonts w:ascii="Times New Roman" w:hAnsi="Times New Roman" w:cs="Times New Roman"/>
          <w:sz w:val="28"/>
          <w:szCs w:val="28"/>
          <w:lang w:val="ru-RU"/>
        </w:rPr>
      </w:pPr>
      <w:r w:rsidRPr="007139F6">
        <w:rPr>
          <w:rFonts w:ascii="Times New Roman" w:hAnsi="Times New Roman" w:cs="Times New Roman"/>
          <w:sz w:val="28"/>
          <w:szCs w:val="28"/>
          <w:lang w:val="ru-RU"/>
        </w:rPr>
        <w:t>12­13 травня 2016 р.</w:t>
      </w:r>
    </w:p>
    <w:p w14:paraId="56E7FF40"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sz w:val="30"/>
          <w:szCs w:val="30"/>
          <w:lang w:val="ru-RU"/>
        </w:rPr>
      </w:pPr>
    </w:p>
    <w:p w14:paraId="1D382207" w14:textId="77777777" w:rsidR="007139F6" w:rsidRPr="007139F6" w:rsidRDefault="007139F6" w:rsidP="007139F6">
      <w:pPr>
        <w:kinsoku w:val="0"/>
        <w:overflowPunct w:val="0"/>
        <w:autoSpaceDE w:val="0"/>
        <w:autoSpaceDN w:val="0"/>
        <w:adjustRightInd w:val="0"/>
        <w:spacing w:after="0" w:line="240" w:lineRule="auto"/>
        <w:ind w:left="286" w:right="280"/>
        <w:jc w:val="center"/>
        <w:rPr>
          <w:rFonts w:ascii="Times New Roman" w:hAnsi="Times New Roman" w:cs="Times New Roman"/>
          <w:sz w:val="32"/>
          <w:szCs w:val="32"/>
          <w:lang w:val="ru-RU"/>
        </w:rPr>
      </w:pPr>
      <w:r w:rsidRPr="007139F6">
        <w:rPr>
          <w:rFonts w:ascii="Times New Roman" w:hAnsi="Times New Roman" w:cs="Times New Roman"/>
          <w:sz w:val="32"/>
          <w:szCs w:val="32"/>
          <w:lang w:val="ru-RU"/>
        </w:rPr>
        <w:t>КИЇВ НУХТ 2016</w:t>
      </w:r>
    </w:p>
    <w:p w14:paraId="0D7E2FFA"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sz w:val="20"/>
          <w:szCs w:val="20"/>
          <w:lang w:val="ru-RU"/>
        </w:rPr>
      </w:pPr>
    </w:p>
    <w:p w14:paraId="3D033D99" w14:textId="77777777" w:rsidR="007139F6" w:rsidRPr="007139F6" w:rsidRDefault="007139F6" w:rsidP="007139F6">
      <w:pPr>
        <w:kinsoku w:val="0"/>
        <w:overflowPunct w:val="0"/>
        <w:autoSpaceDE w:val="0"/>
        <w:autoSpaceDN w:val="0"/>
        <w:adjustRightInd w:val="0"/>
        <w:spacing w:before="50" w:after="0" w:line="240" w:lineRule="auto"/>
        <w:ind w:right="107"/>
        <w:jc w:val="right"/>
        <w:rPr>
          <w:rFonts w:ascii="Times New Roman" w:hAnsi="Times New Roman" w:cs="Times New Roman"/>
          <w:sz w:val="24"/>
          <w:szCs w:val="24"/>
          <w:lang w:val="ru-RU"/>
        </w:rPr>
      </w:pPr>
      <w:r w:rsidRPr="007139F6">
        <w:rPr>
          <w:rFonts w:ascii="Times New Roman" w:hAnsi="Times New Roman" w:cs="Times New Roman"/>
          <w:sz w:val="24"/>
          <w:szCs w:val="24"/>
          <w:lang w:val="ru-RU"/>
        </w:rPr>
        <w:t>1</w:t>
      </w:r>
    </w:p>
    <w:p w14:paraId="405EDDC4" w14:textId="77777777" w:rsidR="007139F6" w:rsidRPr="007139F6" w:rsidRDefault="007139F6" w:rsidP="007139F6">
      <w:pPr>
        <w:kinsoku w:val="0"/>
        <w:overflowPunct w:val="0"/>
        <w:autoSpaceDE w:val="0"/>
        <w:autoSpaceDN w:val="0"/>
        <w:adjustRightInd w:val="0"/>
        <w:spacing w:before="50" w:after="0" w:line="240" w:lineRule="auto"/>
        <w:ind w:right="107"/>
        <w:jc w:val="right"/>
        <w:rPr>
          <w:rFonts w:ascii="Times New Roman" w:hAnsi="Times New Roman" w:cs="Times New Roman"/>
          <w:sz w:val="24"/>
          <w:szCs w:val="24"/>
          <w:lang w:val="ru-RU"/>
        </w:rPr>
        <w:sectPr w:rsidR="007139F6" w:rsidRPr="007139F6" w:rsidSect="007139F6">
          <w:pgSz w:w="11900" w:h="16820"/>
          <w:pgMar w:top="1060" w:right="1020" w:bottom="280" w:left="1020" w:header="720" w:footer="720" w:gutter="0"/>
          <w:cols w:space="720"/>
          <w:noEndnote/>
        </w:sectPr>
      </w:pPr>
    </w:p>
    <w:p w14:paraId="126E711D"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sz w:val="20"/>
          <w:szCs w:val="20"/>
          <w:lang w:val="ru-RU"/>
        </w:rPr>
      </w:pPr>
    </w:p>
    <w:p w14:paraId="31F60EE6" w14:textId="77777777" w:rsidR="007139F6" w:rsidRPr="007139F6" w:rsidRDefault="007139F6" w:rsidP="007139F6">
      <w:pPr>
        <w:kinsoku w:val="0"/>
        <w:overflowPunct w:val="0"/>
        <w:autoSpaceDE w:val="0"/>
        <w:autoSpaceDN w:val="0"/>
        <w:adjustRightInd w:val="0"/>
        <w:spacing w:before="49" w:after="0" w:line="240" w:lineRule="auto"/>
        <w:ind w:left="114" w:firstLine="708"/>
        <w:rPr>
          <w:rFonts w:ascii="Times New Roman" w:hAnsi="Times New Roman" w:cs="Times New Roman"/>
          <w:sz w:val="28"/>
          <w:szCs w:val="28"/>
          <w:lang w:val="ru-RU"/>
        </w:rPr>
      </w:pPr>
      <w:r w:rsidRPr="007139F6">
        <w:rPr>
          <w:rFonts w:ascii="Times New Roman" w:hAnsi="Times New Roman" w:cs="Times New Roman"/>
          <w:b/>
          <w:bCs/>
          <w:sz w:val="28"/>
          <w:szCs w:val="28"/>
          <w:lang w:val="ru-RU"/>
        </w:rPr>
        <w:t xml:space="preserve">Оздоровчі харчові продукти та дієтичні добавки: технології, якість та безпека: </w:t>
      </w:r>
      <w:r w:rsidRPr="007139F6">
        <w:rPr>
          <w:rFonts w:ascii="Times New Roman" w:hAnsi="Times New Roman" w:cs="Times New Roman"/>
          <w:sz w:val="28"/>
          <w:szCs w:val="28"/>
          <w:lang w:val="ru-RU"/>
        </w:rPr>
        <w:t>Матеріали Міжнародної науково­практичної конференції, 12­13</w:t>
      </w:r>
    </w:p>
    <w:p w14:paraId="47A64B38" w14:textId="77777777" w:rsidR="007139F6" w:rsidRPr="007139F6" w:rsidRDefault="007139F6" w:rsidP="007139F6">
      <w:pPr>
        <w:kinsoku w:val="0"/>
        <w:overflowPunct w:val="0"/>
        <w:autoSpaceDE w:val="0"/>
        <w:autoSpaceDN w:val="0"/>
        <w:adjustRightInd w:val="0"/>
        <w:spacing w:before="88" w:after="0" w:line="240" w:lineRule="auto"/>
        <w:ind w:left="114"/>
        <w:rPr>
          <w:rFonts w:ascii="Times New Roman" w:hAnsi="Times New Roman" w:cs="Times New Roman"/>
          <w:sz w:val="25"/>
          <w:szCs w:val="25"/>
          <w:lang w:val="ru-RU"/>
        </w:rPr>
      </w:pPr>
      <w:r w:rsidRPr="007139F6">
        <w:rPr>
          <w:rFonts w:ascii="Times New Roman" w:hAnsi="Times New Roman" w:cs="Times New Roman"/>
          <w:position w:val="1"/>
          <w:sz w:val="28"/>
          <w:szCs w:val="28"/>
          <w:lang w:val="ru-RU"/>
        </w:rPr>
        <w:t xml:space="preserve">травня 2016 р., </w:t>
      </w:r>
      <w:r w:rsidRPr="007139F6">
        <w:rPr>
          <w:rFonts w:ascii="Times New Roman" w:hAnsi="Times New Roman" w:cs="Times New Roman"/>
          <w:sz w:val="25"/>
          <w:szCs w:val="25"/>
          <w:lang w:val="ru-RU"/>
        </w:rPr>
        <w:t>м. Київ. – К.: НУХТ, 2016 р. – 155 с.</w:t>
      </w:r>
    </w:p>
    <w:p w14:paraId="5D0FB114" w14:textId="77777777" w:rsidR="007139F6" w:rsidRDefault="007139F6" w:rsidP="007139F6">
      <w:pPr>
        <w:kinsoku w:val="0"/>
        <w:overflowPunct w:val="0"/>
        <w:autoSpaceDE w:val="0"/>
        <w:autoSpaceDN w:val="0"/>
        <w:adjustRightInd w:val="0"/>
        <w:spacing w:before="178" w:after="0" w:line="240" w:lineRule="auto"/>
        <w:ind w:left="1871"/>
        <w:outlineLvl w:val="0"/>
        <w:rPr>
          <w:rFonts w:ascii="Times New Roman" w:hAnsi="Times New Roman" w:cs="Times New Roman"/>
          <w:b/>
          <w:bCs/>
          <w:sz w:val="24"/>
          <w:szCs w:val="24"/>
          <w:lang w:val="ru-RU"/>
        </w:rPr>
      </w:pPr>
    </w:p>
    <w:p w14:paraId="4D250C53" w14:textId="4ABD5917" w:rsidR="007139F6" w:rsidRPr="007139F6" w:rsidRDefault="007139F6" w:rsidP="007139F6">
      <w:pPr>
        <w:kinsoku w:val="0"/>
        <w:overflowPunct w:val="0"/>
        <w:autoSpaceDE w:val="0"/>
        <w:autoSpaceDN w:val="0"/>
        <w:adjustRightInd w:val="0"/>
        <w:spacing w:before="178" w:after="0" w:line="240" w:lineRule="auto"/>
        <w:ind w:left="1871"/>
        <w:outlineLvl w:val="0"/>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ВИКОРИСТАННЯ ПЕРИКАРПІЮ У ТЕХНОЛОГІЇ КВАСУ</w:t>
      </w:r>
    </w:p>
    <w:p w14:paraId="2156B055" w14:textId="77777777" w:rsidR="007139F6" w:rsidRPr="007139F6" w:rsidRDefault="007139F6" w:rsidP="007139F6">
      <w:pPr>
        <w:kinsoku w:val="0"/>
        <w:overflowPunct w:val="0"/>
        <w:autoSpaceDE w:val="0"/>
        <w:autoSpaceDN w:val="0"/>
        <w:adjustRightInd w:val="0"/>
        <w:spacing w:before="138" w:after="0" w:line="240" w:lineRule="auto"/>
        <w:ind w:left="5683"/>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Наталія Скобельська, Інна Тюрікова</w:t>
      </w:r>
    </w:p>
    <w:p w14:paraId="15B7811A" w14:textId="77777777" w:rsidR="007139F6" w:rsidRPr="007139F6" w:rsidRDefault="007139F6" w:rsidP="007139F6">
      <w:pPr>
        <w:kinsoku w:val="0"/>
        <w:overflowPunct w:val="0"/>
        <w:autoSpaceDE w:val="0"/>
        <w:autoSpaceDN w:val="0"/>
        <w:adjustRightInd w:val="0"/>
        <w:spacing w:before="138" w:after="0" w:line="240" w:lineRule="auto"/>
        <w:ind w:left="1782"/>
        <w:rPr>
          <w:rFonts w:ascii="Times New Roman" w:hAnsi="Times New Roman" w:cs="Times New Roman"/>
          <w:sz w:val="24"/>
          <w:szCs w:val="24"/>
          <w:lang w:val="ru-RU"/>
        </w:rPr>
      </w:pPr>
      <w:r w:rsidRPr="007139F6">
        <w:rPr>
          <w:rFonts w:ascii="Times New Roman" w:hAnsi="Times New Roman" w:cs="Times New Roman"/>
          <w:sz w:val="24"/>
          <w:szCs w:val="24"/>
          <w:lang w:val="ru-RU"/>
        </w:rPr>
        <w:t>ВНЗ Укоопспілки «Полтавський університет економіки і торгівлі»</w:t>
      </w:r>
    </w:p>
    <w:p w14:paraId="3BE07C37"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sz w:val="26"/>
          <w:szCs w:val="26"/>
          <w:lang w:val="ru-RU"/>
        </w:rPr>
      </w:pPr>
    </w:p>
    <w:p w14:paraId="2E0A258B" w14:textId="77777777" w:rsidR="007139F6" w:rsidRPr="007139F6" w:rsidRDefault="007139F6" w:rsidP="007139F6">
      <w:pPr>
        <w:kinsoku w:val="0"/>
        <w:overflowPunct w:val="0"/>
        <w:autoSpaceDE w:val="0"/>
        <w:autoSpaceDN w:val="0"/>
        <w:adjustRightInd w:val="0"/>
        <w:spacing w:after="0" w:line="240" w:lineRule="auto"/>
        <w:ind w:left="654"/>
        <w:outlineLvl w:val="0"/>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Вступ</w:t>
      </w:r>
    </w:p>
    <w:p w14:paraId="564F1DFC" w14:textId="77777777" w:rsidR="007139F6" w:rsidRPr="007139F6" w:rsidRDefault="007139F6" w:rsidP="007139F6">
      <w:pPr>
        <w:kinsoku w:val="0"/>
        <w:overflowPunct w:val="0"/>
        <w:autoSpaceDE w:val="0"/>
        <w:autoSpaceDN w:val="0"/>
        <w:adjustRightInd w:val="0"/>
        <w:spacing w:before="138" w:after="0" w:line="360" w:lineRule="auto"/>
        <w:ind w:left="114"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Одним із пріоритетних напрямів сучасної харчової індустрії є розроблення технологій і розширення асортименту функціональних харчових продуктів, які сприяють зниженню ризику розвитку захворювань і підтриманню здоров’я людини. Одним із ефективних шляхів компенсації аліментарної нестачі в харчуванні є регулярне включення до щоденного раціону функціональних харчових продуктів, у тому числі напоїв з різною функціональною спрямованістю. Напої вважають однією з перспективних груп продуктів для збагачення цінними харчовими компонентами, а низька вартість і високі споживчі властивості забезпечують масовість вживання і попит у населення.</w:t>
      </w:r>
    </w:p>
    <w:p w14:paraId="343E3A3E" w14:textId="77777777" w:rsidR="007139F6" w:rsidRPr="007139F6" w:rsidRDefault="007139F6" w:rsidP="007139F6">
      <w:pPr>
        <w:kinsoku w:val="0"/>
        <w:overflowPunct w:val="0"/>
        <w:autoSpaceDE w:val="0"/>
        <w:autoSpaceDN w:val="0"/>
        <w:adjustRightInd w:val="0"/>
        <w:spacing w:after="0" w:line="360" w:lineRule="auto"/>
        <w:ind w:left="114" w:right="107" w:firstLine="540"/>
        <w:jc w:val="both"/>
        <w:rPr>
          <w:rFonts w:ascii="Times New Roman" w:hAnsi="Times New Roman" w:cs="Times New Roman"/>
          <w:spacing w:val="-3"/>
          <w:sz w:val="24"/>
          <w:szCs w:val="24"/>
          <w:lang w:val="ru-RU"/>
        </w:rPr>
      </w:pPr>
      <w:r w:rsidRPr="007139F6">
        <w:rPr>
          <w:rFonts w:ascii="Times New Roman" w:hAnsi="Times New Roman" w:cs="Times New Roman"/>
          <w:sz w:val="24"/>
          <w:szCs w:val="24"/>
          <w:lang w:val="ru-RU"/>
        </w:rPr>
        <w:t>Основні групи напоїв можна поділити на ферментовані та неферментовані. Найбільш перспективними</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є</w:t>
      </w:r>
      <w:r w:rsidRPr="007139F6">
        <w:rPr>
          <w:rFonts w:ascii="Times New Roman" w:hAnsi="Times New Roman" w:cs="Times New Roman"/>
          <w:spacing w:val="54"/>
          <w:sz w:val="24"/>
          <w:szCs w:val="24"/>
          <w:lang w:val="ru-RU"/>
        </w:rPr>
        <w:t xml:space="preserve"> </w:t>
      </w:r>
      <w:r w:rsidRPr="007139F6">
        <w:rPr>
          <w:rFonts w:ascii="Times New Roman" w:hAnsi="Times New Roman" w:cs="Times New Roman"/>
          <w:sz w:val="24"/>
          <w:szCs w:val="24"/>
          <w:lang w:val="ru-RU"/>
        </w:rPr>
        <w:t>ферментовані</w:t>
      </w:r>
      <w:r w:rsidRPr="007139F6">
        <w:rPr>
          <w:rFonts w:ascii="Times New Roman" w:hAnsi="Times New Roman" w:cs="Times New Roman"/>
          <w:spacing w:val="54"/>
          <w:sz w:val="24"/>
          <w:szCs w:val="24"/>
          <w:lang w:val="ru-RU"/>
        </w:rPr>
        <w:t xml:space="preserve"> </w:t>
      </w:r>
      <w:r w:rsidRPr="007139F6">
        <w:rPr>
          <w:rFonts w:ascii="Times New Roman" w:hAnsi="Times New Roman" w:cs="Times New Roman"/>
          <w:sz w:val="24"/>
          <w:szCs w:val="24"/>
          <w:lang w:val="ru-RU"/>
        </w:rPr>
        <w:t>напої,</w:t>
      </w:r>
      <w:r w:rsidRPr="007139F6">
        <w:rPr>
          <w:rFonts w:ascii="Times New Roman" w:hAnsi="Times New Roman" w:cs="Times New Roman"/>
          <w:spacing w:val="54"/>
          <w:sz w:val="24"/>
          <w:szCs w:val="24"/>
          <w:lang w:val="ru-RU"/>
        </w:rPr>
        <w:t xml:space="preserve"> </w:t>
      </w:r>
      <w:r w:rsidRPr="007139F6">
        <w:rPr>
          <w:rFonts w:ascii="Times New Roman" w:hAnsi="Times New Roman" w:cs="Times New Roman"/>
          <w:sz w:val="24"/>
          <w:szCs w:val="24"/>
          <w:lang w:val="ru-RU"/>
        </w:rPr>
        <w:t>які</w:t>
      </w:r>
      <w:r w:rsidRPr="007139F6">
        <w:rPr>
          <w:rFonts w:ascii="Times New Roman" w:hAnsi="Times New Roman" w:cs="Times New Roman"/>
          <w:spacing w:val="54"/>
          <w:sz w:val="24"/>
          <w:szCs w:val="24"/>
          <w:lang w:val="ru-RU"/>
        </w:rPr>
        <w:t xml:space="preserve"> </w:t>
      </w:r>
      <w:r w:rsidRPr="007139F6">
        <w:rPr>
          <w:rFonts w:ascii="Times New Roman" w:hAnsi="Times New Roman" w:cs="Times New Roman"/>
          <w:sz w:val="24"/>
          <w:szCs w:val="24"/>
          <w:lang w:val="ru-RU"/>
        </w:rPr>
        <w:t>отримують</w:t>
      </w:r>
      <w:r w:rsidRPr="007139F6">
        <w:rPr>
          <w:rFonts w:ascii="Times New Roman" w:hAnsi="Times New Roman" w:cs="Times New Roman"/>
          <w:spacing w:val="54"/>
          <w:sz w:val="24"/>
          <w:szCs w:val="24"/>
          <w:lang w:val="ru-RU"/>
        </w:rPr>
        <w:t xml:space="preserve"> </w:t>
      </w:r>
      <w:r w:rsidRPr="007139F6">
        <w:rPr>
          <w:rFonts w:ascii="Times New Roman" w:hAnsi="Times New Roman" w:cs="Times New Roman"/>
          <w:sz w:val="24"/>
          <w:szCs w:val="24"/>
          <w:lang w:val="ru-RU"/>
        </w:rPr>
        <w:t>шляхом</w:t>
      </w:r>
      <w:r w:rsidRPr="007139F6">
        <w:rPr>
          <w:rFonts w:ascii="Times New Roman" w:hAnsi="Times New Roman" w:cs="Times New Roman"/>
          <w:spacing w:val="54"/>
          <w:sz w:val="24"/>
          <w:szCs w:val="24"/>
          <w:lang w:val="ru-RU"/>
        </w:rPr>
        <w:t xml:space="preserve"> </w:t>
      </w:r>
      <w:r w:rsidRPr="007139F6">
        <w:rPr>
          <w:rFonts w:ascii="Times New Roman" w:hAnsi="Times New Roman" w:cs="Times New Roman"/>
          <w:sz w:val="24"/>
          <w:szCs w:val="24"/>
          <w:lang w:val="ru-RU"/>
        </w:rPr>
        <w:t>зброджування</w:t>
      </w:r>
      <w:r w:rsidRPr="007139F6">
        <w:rPr>
          <w:rFonts w:ascii="Times New Roman" w:hAnsi="Times New Roman" w:cs="Times New Roman"/>
          <w:spacing w:val="54"/>
          <w:sz w:val="24"/>
          <w:szCs w:val="24"/>
          <w:lang w:val="ru-RU"/>
        </w:rPr>
        <w:t xml:space="preserve"> </w:t>
      </w:r>
      <w:r w:rsidRPr="007139F6">
        <w:rPr>
          <w:rFonts w:ascii="Times New Roman" w:hAnsi="Times New Roman" w:cs="Times New Roman"/>
          <w:spacing w:val="-3"/>
          <w:sz w:val="24"/>
          <w:szCs w:val="24"/>
          <w:lang w:val="ru-RU"/>
        </w:rPr>
        <w:t>водних</w:t>
      </w:r>
    </w:p>
    <w:p w14:paraId="524D335D" w14:textId="77777777" w:rsidR="007139F6" w:rsidRPr="007139F6" w:rsidRDefault="007139F6" w:rsidP="007139F6">
      <w:pPr>
        <w:kinsoku w:val="0"/>
        <w:overflowPunct w:val="0"/>
        <w:autoSpaceDE w:val="0"/>
        <w:autoSpaceDN w:val="0"/>
        <w:adjustRightInd w:val="0"/>
        <w:spacing w:after="0" w:line="257" w:lineRule="exact"/>
        <w:ind w:right="107"/>
        <w:jc w:val="right"/>
        <w:rPr>
          <w:rFonts w:ascii="Times New Roman" w:hAnsi="Times New Roman" w:cs="Times New Roman"/>
          <w:sz w:val="24"/>
          <w:szCs w:val="24"/>
          <w:lang w:val="ru-RU"/>
        </w:rPr>
      </w:pPr>
      <w:r w:rsidRPr="007139F6">
        <w:rPr>
          <w:rFonts w:ascii="Times New Roman" w:hAnsi="Times New Roman" w:cs="Times New Roman"/>
          <w:sz w:val="24"/>
          <w:szCs w:val="24"/>
          <w:lang w:val="ru-RU"/>
        </w:rPr>
        <w:t>64</w:t>
      </w:r>
    </w:p>
    <w:p w14:paraId="76B864A1" w14:textId="77777777" w:rsidR="007139F6" w:rsidRPr="007139F6" w:rsidRDefault="007139F6" w:rsidP="007139F6">
      <w:pPr>
        <w:kinsoku w:val="0"/>
        <w:overflowPunct w:val="0"/>
        <w:autoSpaceDE w:val="0"/>
        <w:autoSpaceDN w:val="0"/>
        <w:adjustRightInd w:val="0"/>
        <w:spacing w:after="0" w:line="257" w:lineRule="exact"/>
        <w:ind w:right="107"/>
        <w:jc w:val="right"/>
        <w:rPr>
          <w:rFonts w:ascii="Times New Roman" w:hAnsi="Times New Roman" w:cs="Times New Roman"/>
          <w:sz w:val="24"/>
          <w:szCs w:val="24"/>
          <w:lang w:val="ru-RU"/>
        </w:rPr>
        <w:sectPr w:rsidR="007139F6" w:rsidRPr="007139F6" w:rsidSect="007139F6">
          <w:pgSz w:w="11900" w:h="16820"/>
          <w:pgMar w:top="0" w:right="1020" w:bottom="0" w:left="1020" w:header="720" w:footer="720" w:gutter="0"/>
          <w:cols w:space="720"/>
          <w:noEndnote/>
        </w:sectPr>
      </w:pPr>
    </w:p>
    <w:p w14:paraId="1AF95945"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sz w:val="20"/>
          <w:szCs w:val="20"/>
          <w:lang w:val="ru-RU"/>
        </w:rPr>
      </w:pPr>
    </w:p>
    <w:p w14:paraId="6AE26B61" w14:textId="77777777" w:rsidR="007139F6" w:rsidRPr="007139F6" w:rsidRDefault="007139F6" w:rsidP="007139F6">
      <w:pPr>
        <w:kinsoku w:val="0"/>
        <w:overflowPunct w:val="0"/>
        <w:autoSpaceDE w:val="0"/>
        <w:autoSpaceDN w:val="0"/>
        <w:adjustRightInd w:val="0"/>
        <w:spacing w:before="214" w:after="0" w:line="360" w:lineRule="auto"/>
        <w:ind w:left="114" w:right="106"/>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розчинів натуральної сировини (сусло), що містить поживні для мікроорганізмів речовини. До них відносить вино, пиво, квас, сидр та ін.</w:t>
      </w:r>
    </w:p>
    <w:p w14:paraId="0B3E54BD" w14:textId="77777777" w:rsidR="007139F6" w:rsidRPr="007139F6" w:rsidRDefault="007139F6" w:rsidP="007139F6">
      <w:pPr>
        <w:kinsoku w:val="0"/>
        <w:overflowPunct w:val="0"/>
        <w:autoSpaceDE w:val="0"/>
        <w:autoSpaceDN w:val="0"/>
        <w:adjustRightInd w:val="0"/>
        <w:spacing w:after="0" w:line="360" w:lineRule="auto"/>
        <w:ind w:left="114"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Квас – це стародавній слов’янський напій. Квас чудово втамовує спрагу, бадьорить та освіжає. Цілющі властивості квас набуває саме в процесі бродіння. Різноманіття мікроорганізмів, що містяться в напої позитивно впливають на мікрофлору кишечника. Напій корисний для людей, які страждають гастритом зі зниженою кислотністю шлункового соку, гіпертонікам, сердечника. Він містить вітаміни групи В, кальцій, магній, фосфор, молочну кислоту, амінокислоти [1].</w:t>
      </w:r>
    </w:p>
    <w:p w14:paraId="71458ABC" w14:textId="77777777" w:rsidR="007139F6" w:rsidRPr="007139F6" w:rsidRDefault="007139F6" w:rsidP="007139F6">
      <w:pPr>
        <w:kinsoku w:val="0"/>
        <w:overflowPunct w:val="0"/>
        <w:autoSpaceDE w:val="0"/>
        <w:autoSpaceDN w:val="0"/>
        <w:adjustRightInd w:val="0"/>
        <w:spacing w:after="0" w:line="360" w:lineRule="auto"/>
        <w:ind w:left="114"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Асортимент квасу різноманітний і включає хлібний, карамельний, молочний та з плодово­ягідної сировини. Досліджено, відсутні технології на основі овочевої сировини, а саме, топінамбура і гарбуза.</w:t>
      </w:r>
    </w:p>
    <w:p w14:paraId="13E8315B" w14:textId="77777777" w:rsidR="007139F6" w:rsidRPr="007139F6" w:rsidRDefault="007139F6" w:rsidP="007139F6">
      <w:pPr>
        <w:kinsoku w:val="0"/>
        <w:overflowPunct w:val="0"/>
        <w:autoSpaceDE w:val="0"/>
        <w:autoSpaceDN w:val="0"/>
        <w:adjustRightInd w:val="0"/>
        <w:spacing w:after="0" w:line="360" w:lineRule="auto"/>
        <w:ind w:left="114" w:right="101" w:firstLine="540"/>
        <w:jc w:val="both"/>
        <w:rPr>
          <w:rFonts w:ascii="Times New Roman" w:hAnsi="Times New Roman" w:cs="Times New Roman"/>
          <w:spacing w:val="-5"/>
          <w:sz w:val="24"/>
          <w:szCs w:val="24"/>
          <w:lang w:val="ru-RU"/>
        </w:rPr>
      </w:pPr>
      <w:r w:rsidRPr="007139F6">
        <w:rPr>
          <w:rFonts w:ascii="Times New Roman" w:hAnsi="Times New Roman" w:cs="Times New Roman"/>
          <w:sz w:val="24"/>
          <w:szCs w:val="24"/>
          <w:lang w:val="ru-RU"/>
        </w:rPr>
        <w:t xml:space="preserve">Звісно, що топінамбур багатий клітковиною, пектином, органічними кислотами, незамінними амінокислотами і мікроелементами. Він містить калій, кальцій, кремній, магній, натрій, хром, цинк, залізо, фосфор, йод. Гарбуз ­ джерело вітамінів А і Е, а також рідкісних К і Т [2, 3]. Зелені плоди волоського горіха, листя та перикарпій містять значну кількість вітаміну С, В, Р, йоду, каротину, цукрів, дубильних речовин, а також альфа­ та бетаюглон, </w:t>
      </w:r>
      <w:r w:rsidRPr="007139F6">
        <w:rPr>
          <w:rFonts w:ascii="Times New Roman" w:hAnsi="Times New Roman" w:cs="Times New Roman"/>
          <w:spacing w:val="-5"/>
          <w:sz w:val="24"/>
          <w:szCs w:val="24"/>
          <w:lang w:val="ru-RU"/>
        </w:rPr>
        <w:t xml:space="preserve">фенолкарбонові кислоти, кумарини </w:t>
      </w:r>
      <w:r w:rsidRPr="007139F6">
        <w:rPr>
          <w:rFonts w:ascii="Times New Roman" w:hAnsi="Times New Roman" w:cs="Times New Roman"/>
          <w:spacing w:val="-3"/>
          <w:sz w:val="24"/>
          <w:szCs w:val="24"/>
          <w:lang w:val="ru-RU"/>
        </w:rPr>
        <w:t xml:space="preserve">та </w:t>
      </w:r>
      <w:r w:rsidRPr="007139F6">
        <w:rPr>
          <w:rFonts w:ascii="Times New Roman" w:hAnsi="Times New Roman" w:cs="Times New Roman"/>
          <w:spacing w:val="-5"/>
          <w:sz w:val="24"/>
          <w:szCs w:val="24"/>
          <w:lang w:val="ru-RU"/>
        </w:rPr>
        <w:t xml:space="preserve">хінони. </w:t>
      </w:r>
      <w:proofErr w:type="gramStart"/>
      <w:r w:rsidRPr="007139F6">
        <w:rPr>
          <w:rFonts w:ascii="Times New Roman" w:hAnsi="Times New Roman" w:cs="Times New Roman"/>
          <w:spacing w:val="-4"/>
          <w:sz w:val="24"/>
          <w:szCs w:val="24"/>
          <w:lang w:val="ru-RU"/>
        </w:rPr>
        <w:t xml:space="preserve">Тому  </w:t>
      </w:r>
      <w:r w:rsidRPr="007139F6">
        <w:rPr>
          <w:rFonts w:ascii="Times New Roman" w:hAnsi="Times New Roman" w:cs="Times New Roman"/>
          <w:spacing w:val="-5"/>
          <w:sz w:val="24"/>
          <w:szCs w:val="24"/>
          <w:lang w:val="ru-RU"/>
        </w:rPr>
        <w:t>горіхову</w:t>
      </w:r>
      <w:proofErr w:type="gramEnd"/>
      <w:r w:rsidRPr="007139F6">
        <w:rPr>
          <w:rFonts w:ascii="Times New Roman" w:hAnsi="Times New Roman" w:cs="Times New Roman"/>
          <w:spacing w:val="-5"/>
          <w:sz w:val="24"/>
          <w:szCs w:val="24"/>
          <w:lang w:val="ru-RU"/>
        </w:rPr>
        <w:t xml:space="preserve"> сировину </w:t>
      </w:r>
      <w:r w:rsidRPr="007139F6">
        <w:rPr>
          <w:rFonts w:ascii="Times New Roman" w:hAnsi="Times New Roman" w:cs="Times New Roman"/>
          <w:spacing w:val="-4"/>
          <w:sz w:val="24"/>
          <w:szCs w:val="24"/>
          <w:lang w:val="ru-RU"/>
        </w:rPr>
        <w:t>можна</w:t>
      </w:r>
      <w:r w:rsidRPr="007139F6">
        <w:rPr>
          <w:rFonts w:ascii="Times New Roman" w:hAnsi="Times New Roman" w:cs="Times New Roman"/>
          <w:spacing w:val="52"/>
          <w:sz w:val="24"/>
          <w:szCs w:val="24"/>
          <w:lang w:val="ru-RU"/>
        </w:rPr>
        <w:t xml:space="preserve"> </w:t>
      </w:r>
      <w:r w:rsidRPr="007139F6">
        <w:rPr>
          <w:rFonts w:ascii="Times New Roman" w:hAnsi="Times New Roman" w:cs="Times New Roman"/>
          <w:spacing w:val="-7"/>
          <w:sz w:val="24"/>
          <w:szCs w:val="24"/>
          <w:lang w:val="ru-RU"/>
        </w:rPr>
        <w:t xml:space="preserve">вважати </w:t>
      </w:r>
      <w:r w:rsidRPr="007139F6">
        <w:rPr>
          <w:rFonts w:ascii="Times New Roman" w:hAnsi="Times New Roman" w:cs="Times New Roman"/>
          <w:spacing w:val="-5"/>
          <w:sz w:val="24"/>
          <w:szCs w:val="24"/>
          <w:lang w:val="ru-RU"/>
        </w:rPr>
        <w:t xml:space="preserve">перспективною сировиною </w:t>
      </w:r>
      <w:r w:rsidRPr="007139F6">
        <w:rPr>
          <w:rFonts w:ascii="Times New Roman" w:hAnsi="Times New Roman" w:cs="Times New Roman"/>
          <w:spacing w:val="-4"/>
          <w:sz w:val="24"/>
          <w:szCs w:val="24"/>
          <w:lang w:val="ru-RU"/>
        </w:rPr>
        <w:t xml:space="preserve">для </w:t>
      </w:r>
      <w:r w:rsidRPr="007139F6">
        <w:rPr>
          <w:rFonts w:ascii="Times New Roman" w:hAnsi="Times New Roman" w:cs="Times New Roman"/>
          <w:spacing w:val="-5"/>
          <w:sz w:val="24"/>
          <w:szCs w:val="24"/>
          <w:lang w:val="ru-RU"/>
        </w:rPr>
        <w:t xml:space="preserve">використання </w:t>
      </w:r>
      <w:r w:rsidRPr="007139F6">
        <w:rPr>
          <w:rFonts w:ascii="Times New Roman" w:hAnsi="Times New Roman" w:cs="Times New Roman"/>
          <w:sz w:val="24"/>
          <w:szCs w:val="24"/>
          <w:lang w:val="ru-RU"/>
        </w:rPr>
        <w:t xml:space="preserve">в </w:t>
      </w:r>
      <w:r w:rsidRPr="007139F6">
        <w:rPr>
          <w:rFonts w:ascii="Times New Roman" w:hAnsi="Times New Roman" w:cs="Times New Roman"/>
          <w:spacing w:val="-5"/>
          <w:sz w:val="24"/>
          <w:szCs w:val="24"/>
          <w:lang w:val="ru-RU"/>
        </w:rPr>
        <w:t xml:space="preserve">якості біологічно цінної добавки </w:t>
      </w:r>
      <w:r w:rsidRPr="007139F6">
        <w:rPr>
          <w:rFonts w:ascii="Times New Roman" w:hAnsi="Times New Roman" w:cs="Times New Roman"/>
          <w:spacing w:val="-4"/>
          <w:sz w:val="24"/>
          <w:szCs w:val="24"/>
          <w:lang w:val="ru-RU"/>
        </w:rPr>
        <w:t xml:space="preserve">для </w:t>
      </w:r>
      <w:r w:rsidRPr="007139F6">
        <w:rPr>
          <w:rFonts w:ascii="Times New Roman" w:hAnsi="Times New Roman" w:cs="Times New Roman"/>
          <w:spacing w:val="-5"/>
          <w:sz w:val="24"/>
          <w:szCs w:val="24"/>
          <w:lang w:val="ru-RU"/>
        </w:rPr>
        <w:t>напоїв.</w:t>
      </w:r>
    </w:p>
    <w:p w14:paraId="4DBA28A1" w14:textId="77777777" w:rsidR="007139F6" w:rsidRPr="007139F6" w:rsidRDefault="007139F6" w:rsidP="007139F6">
      <w:pPr>
        <w:kinsoku w:val="0"/>
        <w:overflowPunct w:val="0"/>
        <w:autoSpaceDE w:val="0"/>
        <w:autoSpaceDN w:val="0"/>
        <w:adjustRightInd w:val="0"/>
        <w:spacing w:after="0" w:line="360" w:lineRule="auto"/>
        <w:ind w:left="114" w:right="106"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Метою наших досліджень було розширення асортименту ферментованих напоїв на основі плодоовочевої сировини з використанням перикарпію волоського горіха.</w:t>
      </w:r>
    </w:p>
    <w:p w14:paraId="79B587A5" w14:textId="77777777" w:rsidR="007139F6" w:rsidRPr="007139F6" w:rsidRDefault="007139F6" w:rsidP="007139F6">
      <w:pPr>
        <w:kinsoku w:val="0"/>
        <w:overflowPunct w:val="0"/>
        <w:autoSpaceDE w:val="0"/>
        <w:autoSpaceDN w:val="0"/>
        <w:adjustRightInd w:val="0"/>
        <w:spacing w:after="0" w:line="240" w:lineRule="auto"/>
        <w:ind w:left="654"/>
        <w:jc w:val="both"/>
        <w:outlineLvl w:val="0"/>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Матеріали і методи</w:t>
      </w:r>
    </w:p>
    <w:p w14:paraId="4421B901" w14:textId="77777777" w:rsidR="007139F6" w:rsidRPr="007139F6" w:rsidRDefault="007139F6" w:rsidP="007139F6">
      <w:pPr>
        <w:kinsoku w:val="0"/>
        <w:overflowPunct w:val="0"/>
        <w:autoSpaceDE w:val="0"/>
        <w:autoSpaceDN w:val="0"/>
        <w:adjustRightInd w:val="0"/>
        <w:spacing w:before="138" w:after="0" w:line="360" w:lineRule="auto"/>
        <w:ind w:left="114"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lastRenderedPageBreak/>
        <w:t>Предметом дослідження є технологія квасу на основі топінамбуру і гарбуза з додаванням перикарпію волоського горіха. Використані стандартні методи з визначення органолептичних та фізико­хімічних показників.</w:t>
      </w:r>
    </w:p>
    <w:p w14:paraId="5CC34323" w14:textId="77777777" w:rsidR="007139F6" w:rsidRPr="007139F6" w:rsidRDefault="007139F6" w:rsidP="007139F6">
      <w:pPr>
        <w:kinsoku w:val="0"/>
        <w:overflowPunct w:val="0"/>
        <w:autoSpaceDE w:val="0"/>
        <w:autoSpaceDN w:val="0"/>
        <w:adjustRightInd w:val="0"/>
        <w:spacing w:after="0" w:line="240" w:lineRule="auto"/>
        <w:ind w:left="654"/>
        <w:outlineLvl w:val="0"/>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Результати</w:t>
      </w:r>
    </w:p>
    <w:p w14:paraId="49F38582" w14:textId="77777777" w:rsidR="007139F6" w:rsidRPr="007139F6" w:rsidRDefault="007139F6" w:rsidP="007139F6">
      <w:pPr>
        <w:kinsoku w:val="0"/>
        <w:overflowPunct w:val="0"/>
        <w:autoSpaceDE w:val="0"/>
        <w:autoSpaceDN w:val="0"/>
        <w:adjustRightInd w:val="0"/>
        <w:spacing w:before="138" w:after="0" w:line="360" w:lineRule="auto"/>
        <w:ind w:left="114" w:right="106"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Для досліджень використовували свіжу сировину (гарбуз, топінамбур) і перикарпій (навколоплідник) волоського горіха, зібраний після його відділення від стиглого горіха.</w:t>
      </w:r>
    </w:p>
    <w:p w14:paraId="1E55A65E" w14:textId="77777777" w:rsidR="007139F6" w:rsidRPr="007139F6" w:rsidRDefault="007139F6" w:rsidP="007139F6">
      <w:pPr>
        <w:kinsoku w:val="0"/>
        <w:overflowPunct w:val="0"/>
        <w:autoSpaceDE w:val="0"/>
        <w:autoSpaceDN w:val="0"/>
        <w:adjustRightInd w:val="0"/>
        <w:spacing w:after="0" w:line="360" w:lineRule="auto"/>
        <w:ind w:left="114" w:right="102"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 xml:space="preserve">Проведений фізико­хімічний аналіз обраної для досліджень сировини, підтверджено її біологічну цінність. Доведено, що обрана для досліджень овочева сировина містить значну кількість </w:t>
      </w:r>
      <w:r w:rsidRPr="007139F6">
        <w:rPr>
          <w:rFonts w:ascii="Symbol" w:hAnsi="Symbol" w:cs="Symbol"/>
          <w:sz w:val="24"/>
          <w:szCs w:val="24"/>
          <w:lang w:val="ru-RU"/>
        </w:rPr>
        <w:t></w:t>
      </w:r>
      <w:r w:rsidRPr="007139F6">
        <w:rPr>
          <w:rFonts w:ascii="Times New Roman" w:hAnsi="Times New Roman" w:cs="Times New Roman"/>
          <w:sz w:val="24"/>
          <w:szCs w:val="24"/>
          <w:lang w:val="ru-RU"/>
        </w:rPr>
        <w:t xml:space="preserve">­каротину та пектинових речовин. Визначено, що перикарпій волоського горіха </w:t>
      </w:r>
      <w:proofErr w:type="gramStart"/>
      <w:r w:rsidRPr="007139F6">
        <w:rPr>
          <w:rFonts w:ascii="Times New Roman" w:hAnsi="Times New Roman" w:cs="Times New Roman"/>
          <w:sz w:val="24"/>
          <w:szCs w:val="24"/>
          <w:lang w:val="ru-RU"/>
        </w:rPr>
        <w:t>у момент</w:t>
      </w:r>
      <w:proofErr w:type="gramEnd"/>
      <w:r w:rsidRPr="007139F6">
        <w:rPr>
          <w:rFonts w:ascii="Times New Roman" w:hAnsi="Times New Roman" w:cs="Times New Roman"/>
          <w:sz w:val="24"/>
          <w:szCs w:val="24"/>
          <w:lang w:val="ru-RU"/>
        </w:rPr>
        <w:t xml:space="preserve"> його достигання містить біологічно цінні компоненти: пектинові речовини – 0,522 %, фенольні речовини – 5175 мг/100 г, вітамін С – 243 мг/100 г.</w:t>
      </w:r>
    </w:p>
    <w:p w14:paraId="56DC2B54" w14:textId="77777777" w:rsidR="007139F6" w:rsidRPr="007139F6" w:rsidRDefault="007139F6" w:rsidP="007139F6">
      <w:pPr>
        <w:kinsoku w:val="0"/>
        <w:overflowPunct w:val="0"/>
        <w:autoSpaceDE w:val="0"/>
        <w:autoSpaceDN w:val="0"/>
        <w:adjustRightInd w:val="0"/>
        <w:spacing w:after="0" w:line="360" w:lineRule="auto"/>
        <w:ind w:left="114"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Підбір рецептурних компонентів проводили так, щоб готовий купаж задовольняв смакові властивості. Досліджено 20 варіантів напоїв, які містили подрібнену рослинну сировину, воду чи цукровий сироп, дріжджі або без них. Процес бродіння тривав до 3 діб,</w:t>
      </w:r>
    </w:p>
    <w:p w14:paraId="577724C8" w14:textId="77777777" w:rsidR="007139F6" w:rsidRPr="007139F6" w:rsidRDefault="007139F6" w:rsidP="007139F6">
      <w:pPr>
        <w:kinsoku w:val="0"/>
        <w:overflowPunct w:val="0"/>
        <w:autoSpaceDE w:val="0"/>
        <w:autoSpaceDN w:val="0"/>
        <w:adjustRightInd w:val="0"/>
        <w:spacing w:after="0" w:line="212" w:lineRule="exact"/>
        <w:ind w:right="107"/>
        <w:jc w:val="right"/>
        <w:rPr>
          <w:rFonts w:ascii="Times New Roman" w:hAnsi="Times New Roman" w:cs="Times New Roman"/>
          <w:sz w:val="24"/>
          <w:szCs w:val="24"/>
          <w:lang w:val="ru-RU"/>
        </w:rPr>
      </w:pPr>
      <w:r w:rsidRPr="007139F6">
        <w:rPr>
          <w:rFonts w:ascii="Times New Roman" w:hAnsi="Times New Roman" w:cs="Times New Roman"/>
          <w:sz w:val="24"/>
          <w:szCs w:val="24"/>
          <w:lang w:val="ru-RU"/>
        </w:rPr>
        <w:t>65</w:t>
      </w:r>
    </w:p>
    <w:p w14:paraId="10CB02BF" w14:textId="77777777" w:rsidR="007139F6" w:rsidRPr="007139F6" w:rsidRDefault="007139F6" w:rsidP="007139F6">
      <w:pPr>
        <w:kinsoku w:val="0"/>
        <w:overflowPunct w:val="0"/>
        <w:autoSpaceDE w:val="0"/>
        <w:autoSpaceDN w:val="0"/>
        <w:adjustRightInd w:val="0"/>
        <w:spacing w:after="0" w:line="212" w:lineRule="exact"/>
        <w:ind w:right="107"/>
        <w:jc w:val="right"/>
        <w:rPr>
          <w:rFonts w:ascii="Times New Roman" w:hAnsi="Times New Roman" w:cs="Times New Roman"/>
          <w:sz w:val="24"/>
          <w:szCs w:val="24"/>
          <w:lang w:val="ru-RU"/>
        </w:rPr>
        <w:sectPr w:rsidR="007139F6" w:rsidRPr="007139F6">
          <w:type w:val="continuous"/>
          <w:pgSz w:w="11900" w:h="16820"/>
          <w:pgMar w:top="0" w:right="1020" w:bottom="0" w:left="1020" w:header="720" w:footer="720" w:gutter="0"/>
          <w:cols w:space="720"/>
          <w:noEndnote/>
        </w:sectPr>
      </w:pPr>
    </w:p>
    <w:p w14:paraId="5735170D" w14:textId="77777777" w:rsidR="007139F6" w:rsidRPr="007139F6" w:rsidRDefault="007139F6" w:rsidP="007139F6">
      <w:pPr>
        <w:kinsoku w:val="0"/>
        <w:overflowPunct w:val="0"/>
        <w:autoSpaceDE w:val="0"/>
        <w:autoSpaceDN w:val="0"/>
        <w:adjustRightInd w:val="0"/>
        <w:spacing w:after="0" w:line="240" w:lineRule="auto"/>
        <w:rPr>
          <w:rFonts w:ascii="Times New Roman" w:hAnsi="Times New Roman" w:cs="Times New Roman"/>
          <w:sz w:val="20"/>
          <w:szCs w:val="20"/>
          <w:lang w:val="ru-RU"/>
        </w:rPr>
      </w:pPr>
    </w:p>
    <w:p w14:paraId="2AC23A5F" w14:textId="77777777" w:rsidR="007139F6" w:rsidRPr="007139F6" w:rsidRDefault="007139F6" w:rsidP="007139F6">
      <w:pPr>
        <w:kinsoku w:val="0"/>
        <w:overflowPunct w:val="0"/>
        <w:autoSpaceDE w:val="0"/>
        <w:autoSpaceDN w:val="0"/>
        <w:adjustRightInd w:val="0"/>
        <w:spacing w:before="214" w:after="0" w:line="360" w:lineRule="auto"/>
        <w:ind w:left="114" w:right="107"/>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напій</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знімали</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з</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осаду,</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вистоювали</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за</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температури</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+2…+5</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°С</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протягом</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двох</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z w:val="24"/>
          <w:szCs w:val="24"/>
          <w:lang w:val="ru-RU"/>
        </w:rPr>
        <w:t>діб,</w:t>
      </w:r>
      <w:r w:rsidRPr="007139F6">
        <w:rPr>
          <w:rFonts w:ascii="Times New Roman" w:hAnsi="Times New Roman" w:cs="Times New Roman"/>
          <w:spacing w:val="60"/>
          <w:sz w:val="24"/>
          <w:szCs w:val="24"/>
          <w:lang w:val="ru-RU"/>
        </w:rPr>
        <w:t xml:space="preserve"> </w:t>
      </w:r>
      <w:r w:rsidRPr="007139F6">
        <w:rPr>
          <w:rFonts w:ascii="Times New Roman" w:hAnsi="Times New Roman" w:cs="Times New Roman"/>
          <w:spacing w:val="-4"/>
          <w:sz w:val="24"/>
          <w:szCs w:val="24"/>
          <w:lang w:val="ru-RU"/>
        </w:rPr>
        <w:t>перед</w:t>
      </w:r>
      <w:r w:rsidRPr="007139F6">
        <w:rPr>
          <w:rFonts w:ascii="Times New Roman" w:hAnsi="Times New Roman" w:cs="Times New Roman"/>
          <w:sz w:val="24"/>
          <w:szCs w:val="24"/>
          <w:lang w:val="ru-RU"/>
        </w:rPr>
        <w:t xml:space="preserve"> вживанням фільтрували. Отримані напої з додаванням перикарпію мали оригінальні </w:t>
      </w:r>
      <w:r w:rsidRPr="007139F6">
        <w:rPr>
          <w:rFonts w:ascii="Times New Roman" w:hAnsi="Times New Roman" w:cs="Times New Roman"/>
          <w:spacing w:val="-3"/>
          <w:sz w:val="24"/>
          <w:szCs w:val="24"/>
          <w:lang w:val="ru-RU"/>
        </w:rPr>
        <w:t>смакові</w:t>
      </w:r>
      <w:r w:rsidRPr="007139F6">
        <w:rPr>
          <w:rFonts w:ascii="Times New Roman" w:hAnsi="Times New Roman" w:cs="Times New Roman"/>
          <w:sz w:val="24"/>
          <w:szCs w:val="24"/>
          <w:lang w:val="ru-RU"/>
        </w:rPr>
        <w:t xml:space="preserve"> властивості, приємний аромат з відтінками фруктів або лугових трав та характеризувалися підвищеною біологічною цінністю. Але напої мали ознаки незавершеного бродіння </w:t>
      </w:r>
      <w:r w:rsidRPr="007139F6">
        <w:rPr>
          <w:rFonts w:ascii="Times New Roman" w:hAnsi="Times New Roman" w:cs="Times New Roman"/>
          <w:spacing w:val="-19"/>
          <w:sz w:val="24"/>
          <w:szCs w:val="24"/>
          <w:lang w:val="ru-RU"/>
        </w:rPr>
        <w:t>і</w:t>
      </w:r>
      <w:r w:rsidRPr="007139F6">
        <w:rPr>
          <w:rFonts w:ascii="Times New Roman" w:hAnsi="Times New Roman" w:cs="Times New Roman"/>
          <w:sz w:val="24"/>
          <w:szCs w:val="24"/>
          <w:lang w:val="ru-RU"/>
        </w:rPr>
        <w:t xml:space="preserve"> гіркуватий присмак, тому потребують удосконалення.</w:t>
      </w:r>
    </w:p>
    <w:p w14:paraId="78461085" w14:textId="77777777" w:rsidR="007139F6" w:rsidRPr="007139F6" w:rsidRDefault="007139F6" w:rsidP="007139F6">
      <w:pPr>
        <w:kinsoku w:val="0"/>
        <w:overflowPunct w:val="0"/>
        <w:autoSpaceDE w:val="0"/>
        <w:autoSpaceDN w:val="0"/>
        <w:adjustRightInd w:val="0"/>
        <w:spacing w:after="0" w:line="240" w:lineRule="auto"/>
        <w:ind w:left="654"/>
        <w:outlineLvl w:val="0"/>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Висновки</w:t>
      </w:r>
    </w:p>
    <w:p w14:paraId="32F4BF7E" w14:textId="77777777" w:rsidR="007139F6" w:rsidRPr="007139F6" w:rsidRDefault="007139F6" w:rsidP="007139F6">
      <w:pPr>
        <w:kinsoku w:val="0"/>
        <w:overflowPunct w:val="0"/>
        <w:autoSpaceDE w:val="0"/>
        <w:autoSpaceDN w:val="0"/>
        <w:adjustRightInd w:val="0"/>
        <w:spacing w:before="138" w:after="0" w:line="360" w:lineRule="auto"/>
        <w:ind w:left="114"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 xml:space="preserve">Підтверджено, що створення ферментованих напоїв на основі топінамбура, гарбуза </w:t>
      </w:r>
      <w:r w:rsidRPr="007139F6">
        <w:rPr>
          <w:rFonts w:ascii="Times New Roman" w:hAnsi="Times New Roman" w:cs="Times New Roman"/>
          <w:spacing w:val="-16"/>
          <w:sz w:val="24"/>
          <w:szCs w:val="24"/>
          <w:lang w:val="ru-RU"/>
        </w:rPr>
        <w:t>і</w:t>
      </w:r>
      <w:r w:rsidRPr="007139F6">
        <w:rPr>
          <w:rFonts w:ascii="Times New Roman" w:hAnsi="Times New Roman" w:cs="Times New Roman"/>
          <w:sz w:val="24"/>
          <w:szCs w:val="24"/>
          <w:lang w:val="ru-RU"/>
        </w:rPr>
        <w:t xml:space="preserve"> перикарпію волоського горіха дозволить отримати оригінальний за смаковими властивостями</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продукт</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підвищеної</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біологічної</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цінності</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і</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забезпечити</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використання</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pacing w:val="-4"/>
          <w:sz w:val="24"/>
          <w:szCs w:val="24"/>
          <w:lang w:val="ru-RU"/>
        </w:rPr>
        <w:t>мало</w:t>
      </w:r>
      <w:r w:rsidRPr="007139F6">
        <w:rPr>
          <w:rFonts w:ascii="Times New Roman" w:hAnsi="Times New Roman" w:cs="Times New Roman"/>
          <w:sz w:val="24"/>
          <w:szCs w:val="24"/>
          <w:lang w:val="ru-RU"/>
        </w:rPr>
        <w:t xml:space="preserve"> поширеної у безалкогольній галузі сировини. Уперше запропонована технологія безвідходного переробляння горіхової сировини.</w:t>
      </w:r>
    </w:p>
    <w:p w14:paraId="7263244E" w14:textId="77777777" w:rsidR="007139F6" w:rsidRPr="007139F6" w:rsidRDefault="007139F6" w:rsidP="007139F6">
      <w:pPr>
        <w:kinsoku w:val="0"/>
        <w:overflowPunct w:val="0"/>
        <w:autoSpaceDE w:val="0"/>
        <w:autoSpaceDN w:val="0"/>
        <w:adjustRightInd w:val="0"/>
        <w:spacing w:after="0" w:line="240" w:lineRule="auto"/>
        <w:ind w:left="654"/>
        <w:outlineLvl w:val="0"/>
        <w:rPr>
          <w:rFonts w:ascii="Times New Roman" w:hAnsi="Times New Roman" w:cs="Times New Roman"/>
          <w:b/>
          <w:bCs/>
          <w:sz w:val="24"/>
          <w:szCs w:val="24"/>
          <w:lang w:val="ru-RU"/>
        </w:rPr>
      </w:pPr>
      <w:r w:rsidRPr="007139F6">
        <w:rPr>
          <w:rFonts w:ascii="Times New Roman" w:hAnsi="Times New Roman" w:cs="Times New Roman"/>
          <w:b/>
          <w:bCs/>
          <w:sz w:val="24"/>
          <w:szCs w:val="24"/>
          <w:lang w:val="ru-RU"/>
        </w:rPr>
        <w:t>Література</w:t>
      </w:r>
    </w:p>
    <w:p w14:paraId="6074B4E0" w14:textId="77777777" w:rsidR="007139F6" w:rsidRPr="007139F6" w:rsidRDefault="007139F6" w:rsidP="007139F6">
      <w:pPr>
        <w:numPr>
          <w:ilvl w:val="0"/>
          <w:numId w:val="1"/>
        </w:numPr>
        <w:tabs>
          <w:tab w:val="left" w:pos="957"/>
        </w:tabs>
        <w:kinsoku w:val="0"/>
        <w:overflowPunct w:val="0"/>
        <w:autoSpaceDE w:val="0"/>
        <w:autoSpaceDN w:val="0"/>
        <w:adjustRightInd w:val="0"/>
        <w:spacing w:before="138" w:after="0" w:line="360" w:lineRule="auto"/>
        <w:ind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Елисеев, М. Н. Квасы брожения – напитки, содержащие биологтчески активные вещества [Текст] / М. Н. Елисеев, Д. С. Лычников, Л К. Емельянова, Т. И. Кузичкина // Пиво и напитки. – 2006 ­ №3. – С.</w:t>
      </w:r>
      <w:r w:rsidRPr="007139F6">
        <w:rPr>
          <w:rFonts w:ascii="Times New Roman" w:hAnsi="Times New Roman" w:cs="Times New Roman"/>
          <w:spacing w:val="53"/>
          <w:sz w:val="24"/>
          <w:szCs w:val="24"/>
          <w:lang w:val="ru-RU"/>
        </w:rPr>
        <w:t xml:space="preserve"> </w:t>
      </w:r>
      <w:r w:rsidRPr="007139F6">
        <w:rPr>
          <w:rFonts w:ascii="Times New Roman" w:hAnsi="Times New Roman" w:cs="Times New Roman"/>
          <w:sz w:val="24"/>
          <w:szCs w:val="24"/>
          <w:lang w:val="ru-RU"/>
        </w:rPr>
        <w:t>32­34.</w:t>
      </w:r>
    </w:p>
    <w:p w14:paraId="784BEEFB" w14:textId="77777777" w:rsidR="007139F6" w:rsidRPr="007139F6" w:rsidRDefault="007139F6" w:rsidP="007139F6">
      <w:pPr>
        <w:numPr>
          <w:ilvl w:val="0"/>
          <w:numId w:val="1"/>
        </w:numPr>
        <w:tabs>
          <w:tab w:val="left" w:pos="920"/>
        </w:tabs>
        <w:kinsoku w:val="0"/>
        <w:overflowPunct w:val="0"/>
        <w:autoSpaceDE w:val="0"/>
        <w:autoSpaceDN w:val="0"/>
        <w:adjustRightInd w:val="0"/>
        <w:spacing w:after="0" w:line="360" w:lineRule="auto"/>
        <w:ind w:right="107"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Архипов,</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В.</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Поживні</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цінності</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топінамбура</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В.</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Архипов,</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Т.</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Іваннікова</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Харчова</w:t>
      </w:r>
      <w:r w:rsidRPr="007139F6">
        <w:rPr>
          <w:rFonts w:ascii="Times New Roman" w:hAnsi="Times New Roman" w:cs="Times New Roman"/>
          <w:spacing w:val="25"/>
          <w:sz w:val="24"/>
          <w:szCs w:val="24"/>
          <w:lang w:val="ru-RU"/>
        </w:rPr>
        <w:t xml:space="preserve"> </w:t>
      </w:r>
      <w:r w:rsidRPr="007139F6">
        <w:rPr>
          <w:rFonts w:ascii="Times New Roman" w:hAnsi="Times New Roman" w:cs="Times New Roman"/>
          <w:sz w:val="24"/>
          <w:szCs w:val="24"/>
          <w:lang w:val="ru-RU"/>
        </w:rPr>
        <w:t>і переробна промисловість. – К, 2006. – С. 26­30.</w:t>
      </w:r>
    </w:p>
    <w:p w14:paraId="141C0BD2" w14:textId="77777777" w:rsidR="007139F6" w:rsidRPr="007139F6" w:rsidRDefault="007139F6" w:rsidP="007139F6">
      <w:pPr>
        <w:numPr>
          <w:ilvl w:val="0"/>
          <w:numId w:val="1"/>
        </w:numPr>
        <w:tabs>
          <w:tab w:val="left" w:pos="947"/>
        </w:tabs>
        <w:kinsoku w:val="0"/>
        <w:overflowPunct w:val="0"/>
        <w:autoSpaceDE w:val="0"/>
        <w:autoSpaceDN w:val="0"/>
        <w:adjustRightInd w:val="0"/>
        <w:spacing w:after="0" w:line="360" w:lineRule="auto"/>
        <w:ind w:right="106" w:firstLine="540"/>
        <w:jc w:val="both"/>
        <w:rPr>
          <w:rFonts w:ascii="Times New Roman" w:hAnsi="Times New Roman" w:cs="Times New Roman"/>
          <w:sz w:val="24"/>
          <w:szCs w:val="24"/>
          <w:lang w:val="ru-RU"/>
        </w:rPr>
      </w:pPr>
      <w:r w:rsidRPr="007139F6">
        <w:rPr>
          <w:rFonts w:ascii="Times New Roman" w:hAnsi="Times New Roman" w:cs="Times New Roman"/>
          <w:sz w:val="24"/>
          <w:szCs w:val="24"/>
          <w:lang w:val="ru-RU"/>
        </w:rPr>
        <w:t>Тюрікова, І.С. Технологія харчової продукції з використанням волоського</w:t>
      </w:r>
      <w:r w:rsidRPr="007139F6">
        <w:rPr>
          <w:rFonts w:ascii="Times New Roman" w:hAnsi="Times New Roman" w:cs="Times New Roman"/>
          <w:spacing w:val="-5"/>
          <w:sz w:val="24"/>
          <w:szCs w:val="24"/>
          <w:lang w:val="ru-RU"/>
        </w:rPr>
        <w:t xml:space="preserve"> </w:t>
      </w:r>
      <w:r w:rsidRPr="007139F6">
        <w:rPr>
          <w:rFonts w:ascii="Times New Roman" w:hAnsi="Times New Roman" w:cs="Times New Roman"/>
          <w:sz w:val="24"/>
          <w:szCs w:val="24"/>
          <w:lang w:val="ru-RU"/>
        </w:rPr>
        <w:t xml:space="preserve">горіха: теорія і </w:t>
      </w:r>
      <w:proofErr w:type="gramStart"/>
      <w:r w:rsidRPr="007139F6">
        <w:rPr>
          <w:rFonts w:ascii="Times New Roman" w:hAnsi="Times New Roman" w:cs="Times New Roman"/>
          <w:sz w:val="24"/>
          <w:szCs w:val="24"/>
          <w:lang w:val="ru-RU"/>
        </w:rPr>
        <w:t>практика :</w:t>
      </w:r>
      <w:proofErr w:type="gramEnd"/>
      <w:r w:rsidRPr="007139F6">
        <w:rPr>
          <w:rFonts w:ascii="Times New Roman" w:hAnsi="Times New Roman" w:cs="Times New Roman"/>
          <w:sz w:val="24"/>
          <w:szCs w:val="24"/>
          <w:lang w:val="ru-RU"/>
        </w:rPr>
        <w:t xml:space="preserve"> монографія / І.С. Тюрікова. – </w:t>
      </w:r>
      <w:proofErr w:type="gramStart"/>
      <w:r w:rsidRPr="007139F6">
        <w:rPr>
          <w:rFonts w:ascii="Times New Roman" w:hAnsi="Times New Roman" w:cs="Times New Roman"/>
          <w:sz w:val="24"/>
          <w:szCs w:val="24"/>
          <w:lang w:val="ru-RU"/>
        </w:rPr>
        <w:t>Полтава :</w:t>
      </w:r>
      <w:proofErr w:type="gramEnd"/>
      <w:r w:rsidRPr="007139F6">
        <w:rPr>
          <w:rFonts w:ascii="Times New Roman" w:hAnsi="Times New Roman" w:cs="Times New Roman"/>
          <w:sz w:val="24"/>
          <w:szCs w:val="24"/>
          <w:lang w:val="ru-RU"/>
        </w:rPr>
        <w:t xml:space="preserve"> ПУЕТ, 2015. – 203 с.</w:t>
      </w:r>
    </w:p>
    <w:p w14:paraId="764C406A" w14:textId="437F3436" w:rsidR="00007C37" w:rsidRPr="007139F6" w:rsidRDefault="00007C37">
      <w:pPr>
        <w:rPr>
          <w:lang w:val="ru-RU"/>
        </w:rPr>
      </w:pPr>
    </w:p>
    <w:sectPr w:rsidR="00007C37" w:rsidRPr="007139F6" w:rsidSect="00737A1C">
      <w:type w:val="continuous"/>
      <w:pgSz w:w="11900" w:h="16820"/>
      <w:pgMar w:top="0" w:right="1020" w:bottom="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14" w:hanging="303"/>
      </w:pPr>
      <w:rPr>
        <w:rFonts w:ascii="Times New Roman" w:hAnsi="Times New Roman" w:cs="Times New Roman"/>
        <w:b w:val="0"/>
        <w:bCs w:val="0"/>
        <w:spacing w:val="-2"/>
        <w:w w:val="100"/>
        <w:sz w:val="24"/>
        <w:szCs w:val="24"/>
      </w:rPr>
    </w:lvl>
    <w:lvl w:ilvl="1">
      <w:numFmt w:val="bullet"/>
      <w:lvlText w:val="•"/>
      <w:lvlJc w:val="left"/>
      <w:pPr>
        <w:ind w:left="1094" w:hanging="303"/>
      </w:pPr>
    </w:lvl>
    <w:lvl w:ilvl="2">
      <w:numFmt w:val="bullet"/>
      <w:lvlText w:val="•"/>
      <w:lvlJc w:val="left"/>
      <w:pPr>
        <w:ind w:left="2068" w:hanging="303"/>
      </w:pPr>
    </w:lvl>
    <w:lvl w:ilvl="3">
      <w:numFmt w:val="bullet"/>
      <w:lvlText w:val="•"/>
      <w:lvlJc w:val="left"/>
      <w:pPr>
        <w:ind w:left="3042" w:hanging="303"/>
      </w:pPr>
    </w:lvl>
    <w:lvl w:ilvl="4">
      <w:numFmt w:val="bullet"/>
      <w:lvlText w:val="•"/>
      <w:lvlJc w:val="left"/>
      <w:pPr>
        <w:ind w:left="4016" w:hanging="303"/>
      </w:pPr>
    </w:lvl>
    <w:lvl w:ilvl="5">
      <w:numFmt w:val="bullet"/>
      <w:lvlText w:val="•"/>
      <w:lvlJc w:val="left"/>
      <w:pPr>
        <w:ind w:left="4990" w:hanging="303"/>
      </w:pPr>
    </w:lvl>
    <w:lvl w:ilvl="6">
      <w:numFmt w:val="bullet"/>
      <w:lvlText w:val="•"/>
      <w:lvlJc w:val="left"/>
      <w:pPr>
        <w:ind w:left="5964" w:hanging="303"/>
      </w:pPr>
    </w:lvl>
    <w:lvl w:ilvl="7">
      <w:numFmt w:val="bullet"/>
      <w:lvlText w:val="•"/>
      <w:lvlJc w:val="left"/>
      <w:pPr>
        <w:ind w:left="6938" w:hanging="303"/>
      </w:pPr>
    </w:lvl>
    <w:lvl w:ilvl="8">
      <w:numFmt w:val="bullet"/>
      <w:lvlText w:val="•"/>
      <w:lvlJc w:val="left"/>
      <w:pPr>
        <w:ind w:left="7912" w:hanging="30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40"/>
    <w:rsid w:val="00007C37"/>
    <w:rsid w:val="007139F6"/>
    <w:rsid w:val="00FD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AE2"/>
  <w15:chartTrackingRefBased/>
  <w15:docId w15:val="{47F0E5D9-47BB-4FEB-8D80-7792126F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139F6"/>
    <w:pPr>
      <w:autoSpaceDE w:val="0"/>
      <w:autoSpaceDN w:val="0"/>
      <w:adjustRightInd w:val="0"/>
      <w:spacing w:after="0" w:line="240" w:lineRule="auto"/>
    </w:pPr>
    <w:rPr>
      <w:rFonts w:ascii="Times New Roman" w:hAnsi="Times New Roman" w:cs="Times New Roman"/>
      <w:b/>
      <w:bCs/>
      <w:sz w:val="24"/>
      <w:szCs w:val="24"/>
      <w:lang w:val="ru-RU"/>
    </w:rPr>
  </w:style>
  <w:style w:type="character" w:customStyle="1" w:styleId="a4">
    <w:name w:val="Основной текст Знак"/>
    <w:basedOn w:val="a0"/>
    <w:link w:val="a3"/>
    <w:uiPriority w:val="1"/>
    <w:rsid w:val="007139F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Inna</dc:creator>
  <cp:keywords/>
  <dc:description/>
  <cp:lastModifiedBy>Inna Inna</cp:lastModifiedBy>
  <cp:revision>2</cp:revision>
  <dcterms:created xsi:type="dcterms:W3CDTF">2020-09-07T17:55:00Z</dcterms:created>
  <dcterms:modified xsi:type="dcterms:W3CDTF">2020-09-07T17:55:00Z</dcterms:modified>
</cp:coreProperties>
</file>