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4DD" w:rsidRPr="00383305" w:rsidRDefault="008A24DD" w:rsidP="008A24DD">
      <w:pPr>
        <w:pStyle w:val="01"/>
        <w:rPr>
          <w:lang w:val="uk-UA"/>
        </w:rPr>
      </w:pPr>
      <w:bookmarkStart w:id="0" w:name="_Toc19796414"/>
      <w:r w:rsidRPr="00383305">
        <w:rPr>
          <w:bCs/>
          <w:lang w:val="uk-UA"/>
        </w:rPr>
        <w:t>ПРЕЗУМПЦІЯ НЕВИНУВАТОСТІ</w:t>
      </w:r>
      <w:r w:rsidRPr="00383305">
        <w:rPr>
          <w:bCs/>
          <w:lang w:val="uk-UA"/>
        </w:rPr>
        <w:br/>
        <w:t>ЯК ЕЛЕМЕНТ ЗАХИСТУ ПРАВ ОСОБИ</w:t>
      </w:r>
      <w:bookmarkEnd w:id="0"/>
    </w:p>
    <w:p w:rsidR="008A24DD" w:rsidRPr="00383305" w:rsidRDefault="008A24DD" w:rsidP="008A24DD">
      <w:pPr>
        <w:pStyle w:val="02"/>
        <w:rPr>
          <w:bCs/>
        </w:rPr>
      </w:pPr>
      <w:bookmarkStart w:id="1" w:name="_Toc19796415"/>
      <w:proofErr w:type="spellStart"/>
      <w:r w:rsidRPr="00383305">
        <w:rPr>
          <w:b/>
        </w:rPr>
        <w:t>Музи</w:t>
      </w:r>
      <w:proofErr w:type="spellEnd"/>
      <w:r w:rsidRPr="00383305">
        <w:rPr>
          <w:b/>
        </w:rPr>
        <w:t>ченко Д. М.,</w:t>
      </w:r>
      <w:r w:rsidRPr="00383305">
        <w:rPr>
          <w:b/>
        </w:rPr>
        <w:br/>
      </w:r>
      <w:r w:rsidRPr="00383305">
        <w:rPr>
          <w:bCs/>
        </w:rPr>
        <w:t xml:space="preserve">магістрант, кафедра правознавства, </w:t>
      </w:r>
      <w:proofErr w:type="spellStart"/>
      <w:r w:rsidRPr="00383305">
        <w:rPr>
          <w:bCs/>
        </w:rPr>
        <w:t>ПУЕТ</w:t>
      </w:r>
      <w:proofErr w:type="spellEnd"/>
      <w:r w:rsidRPr="00383305">
        <w:rPr>
          <w:bCs/>
        </w:rPr>
        <w:t>;</w:t>
      </w:r>
      <w:r w:rsidRPr="00383305">
        <w:rPr>
          <w:bCs/>
        </w:rPr>
        <w:br/>
        <w:t>науковий керівник</w:t>
      </w:r>
      <w:r>
        <w:rPr>
          <w:bCs/>
        </w:rPr>
        <w:t xml:space="preserve"> – </w:t>
      </w:r>
      <w:proofErr w:type="spellStart"/>
      <w:r w:rsidRPr="00383305">
        <w:rPr>
          <w:bCs/>
        </w:rPr>
        <w:t>доц. Четвертак</w:t>
      </w:r>
      <w:proofErr w:type="spellEnd"/>
      <w:r w:rsidRPr="00383305">
        <w:rPr>
          <w:bCs/>
        </w:rPr>
        <w:t> Д. Ю.</w:t>
      </w:r>
      <w:bookmarkEnd w:id="1"/>
    </w:p>
    <w:p w:rsidR="008A24DD" w:rsidRPr="00383305" w:rsidRDefault="008A24DD" w:rsidP="008A24DD">
      <w:pPr>
        <w:pStyle w:val="03"/>
      </w:pPr>
      <w:r w:rsidRPr="00383305">
        <w:t>Сьогодні захист прав людини знаходиться на першому місці серед досліджень науковців у різних сферах. Загалом в кримінальному та кримінально-процесуальному праві України поняття презумпції невинуватості давно посідає гідне та безпосередньо важливе місце серед правових інститутів.</w:t>
      </w:r>
    </w:p>
    <w:p w:rsidR="008A24DD" w:rsidRPr="00383305" w:rsidRDefault="008A24DD" w:rsidP="008A24DD">
      <w:pPr>
        <w:pStyle w:val="03"/>
      </w:pPr>
      <w:r w:rsidRPr="00383305">
        <w:t>Презумпція невинуватості відображає також право особи, яка формально обвинувачена у вчиненні кримінального правопорушення, на незалежний та безсторонній суд, оскільки принцип презумпції невинуватості є одним із елементів справедливого судового розгляду</w:t>
      </w:r>
      <w:bookmarkStart w:id="2" w:name="_ftnref1"/>
      <w:r w:rsidRPr="00383305">
        <w:fldChar w:fldCharType="begin"/>
      </w:r>
      <w:r w:rsidRPr="00383305">
        <w:instrText xml:space="preserve"> HYPERLINK "https://minjust.gov.ua/m/str_7475" \l "_ftn1" \o "" \t "_blank" </w:instrText>
      </w:r>
      <w:r w:rsidRPr="00383305">
        <w:fldChar w:fldCharType="separate"/>
      </w:r>
      <w:r w:rsidRPr="00383305">
        <w:rPr>
          <w:rStyle w:val="a3"/>
          <w:color w:val="auto"/>
          <w:vertAlign w:val="superscript"/>
        </w:rPr>
        <w:t>1</w:t>
      </w:r>
      <w:r w:rsidRPr="00383305">
        <w:fldChar w:fldCharType="end"/>
      </w:r>
      <w:bookmarkEnd w:id="2"/>
      <w:r w:rsidRPr="00383305">
        <w:t>. Крім того, дія цього принципу розповсюджується на весь кримінальний процес, незалежно від результатів розслідування, а не тільки на час судового розгляду. Таким чином, Європейський суд з прав людини (далі</w:t>
      </w:r>
      <w:r>
        <w:t xml:space="preserve"> – </w:t>
      </w:r>
      <w:r w:rsidRPr="00383305">
        <w:t>Суд) намагався надати презумпції невинуватості певної універсальності в межах кримінально-процесуальної сфери.</w:t>
      </w:r>
    </w:p>
    <w:p w:rsidR="008A24DD" w:rsidRPr="00383305" w:rsidRDefault="008A24DD" w:rsidP="008A24DD">
      <w:pPr>
        <w:pStyle w:val="03"/>
      </w:pPr>
      <w:r w:rsidRPr="00383305">
        <w:t xml:space="preserve">Визначення поняття презумпції невинуватості закріплено в рішенні по справі </w:t>
      </w:r>
      <w:proofErr w:type="spellStart"/>
      <w:r w:rsidRPr="00383305">
        <w:t>Minelli</w:t>
      </w:r>
      <w:proofErr w:type="spellEnd"/>
      <w:r w:rsidRPr="00383305">
        <w:t xml:space="preserve"> v. </w:t>
      </w:r>
      <w:proofErr w:type="spellStart"/>
      <w:r w:rsidRPr="00383305">
        <w:t>Switzerland</w:t>
      </w:r>
      <w:proofErr w:type="spellEnd"/>
      <w:r w:rsidRPr="00383305">
        <w:t>. У цій справі заявник скаржився на порушення презумпції невинуватості за п. 2 статті 6 Конвенції у зв</w:t>
      </w:r>
      <w:r>
        <w:t>’</w:t>
      </w:r>
      <w:r w:rsidRPr="00383305">
        <w:t xml:space="preserve">язку з тим, що національним судом заявнику було призначено сплатити судові витрати та компенсацію, не зважаючи на те, що кримінальне переслідування щодо нього було припинено зі </w:t>
      </w:r>
      <w:proofErr w:type="spellStart"/>
      <w:r w:rsidRPr="00383305">
        <w:t>сплином</w:t>
      </w:r>
      <w:proofErr w:type="spellEnd"/>
      <w:r w:rsidRPr="00383305">
        <w:t xml:space="preserve"> строку давності. Суд ухвалив, що: «без доведення попередньої вини обвинуваченого в порядку, встановленому законом, і зокрема, без надання обвинуваченому можливості скористатися правом на захист, судове рішення відносно нього породжує відчуття того, що обвинувачений є справді винним».</w:t>
      </w:r>
    </w:p>
    <w:p w:rsidR="008A24DD" w:rsidRPr="00383305" w:rsidRDefault="008A24DD" w:rsidP="008A24DD">
      <w:pPr>
        <w:pStyle w:val="03"/>
      </w:pPr>
      <w:r w:rsidRPr="00383305">
        <w:t>Унеможливлення притягнення до відповідальності невинуватих осіб, убезпечення людини від свавілля держави та обов</w:t>
      </w:r>
      <w:r>
        <w:t>’</w:t>
      </w:r>
      <w:r w:rsidRPr="00383305">
        <w:t>язку доводити перед нею свою невинуватість</w:t>
      </w:r>
      <w:r>
        <w:t xml:space="preserve"> – </w:t>
      </w:r>
      <w:r w:rsidRPr="00383305">
        <w:t>ось мета презумпції невинуватості, яка є однією з основних засад дотримання прав людини у демократичному суспільстві.</w:t>
      </w:r>
    </w:p>
    <w:p w:rsidR="008A24DD" w:rsidRPr="00383305" w:rsidRDefault="008A24DD" w:rsidP="008A24DD">
      <w:pPr>
        <w:pStyle w:val="03"/>
      </w:pPr>
      <w:r w:rsidRPr="00383305">
        <w:t>Безумовно, потрібно розуміти що презумпція невинуватості є основним елементом в аспекті захисту прав особи, насамперед тому, що людина не повинна відповідати за ті діяння, яких вона не скоювала, сама суть презумпції являє собою припущення в тому, що особа не вчинила. В цивілізованому суспільстві з протиправні діяння повинні відповідати тільки ті, хто їх дійсно вчиняє, а практика на сьогодні показує, що існують випадки коли тільки через роки з</w:t>
      </w:r>
      <w:r>
        <w:t>’</w:t>
      </w:r>
      <w:r w:rsidRPr="00383305">
        <w:t>ясовується що особа насправді була непричетна до незаконного діяння і відповідала за те, чого не скоювала.</w:t>
      </w:r>
    </w:p>
    <w:p w:rsidR="008A24DD" w:rsidRPr="00383305" w:rsidRDefault="008A24DD" w:rsidP="008A24DD">
      <w:pPr>
        <w:pStyle w:val="03"/>
      </w:pPr>
      <w:r w:rsidRPr="00383305">
        <w:t>Презумпція невинуватості визначає правовий статус особи, яка притягувалась до кримінальної відповідальності, не тільки в кримінальному процесі, а й у всіх інших суспільних відносинах, у яких вона є суб</w:t>
      </w:r>
      <w:r>
        <w:t>’</w:t>
      </w:r>
      <w:r w:rsidRPr="00383305">
        <w:t>єктом. За відсутності обвинувального вироку суду, що набрав законної сили, за особою навіть у випадках, коли вона тримається під вартою, зберігаються виборчі, трудові й інші права і свободи людини та громадянина.</w:t>
      </w:r>
    </w:p>
    <w:p w:rsidR="008A24DD" w:rsidRPr="00383305" w:rsidRDefault="008A24DD" w:rsidP="008A24DD">
      <w:pPr>
        <w:pStyle w:val="03"/>
      </w:pPr>
      <w:r w:rsidRPr="00383305">
        <w:t>На підставі вищевикладеного можна зробити такі висновки:</w:t>
      </w:r>
    </w:p>
    <w:p w:rsidR="008A24DD" w:rsidRPr="00383305" w:rsidRDefault="008A24DD" w:rsidP="008A24DD">
      <w:pPr>
        <w:pStyle w:val="03"/>
        <w:numPr>
          <w:ilvl w:val="0"/>
          <w:numId w:val="2"/>
        </w:numPr>
      </w:pPr>
      <w:r w:rsidRPr="00383305">
        <w:t>Презумпція невинуватості обвинуваченого діє на всіх стадіях кримінального процесу.</w:t>
      </w:r>
    </w:p>
    <w:p w:rsidR="008A24DD" w:rsidRPr="00383305" w:rsidRDefault="008A24DD" w:rsidP="008A24DD">
      <w:pPr>
        <w:pStyle w:val="03"/>
        <w:numPr>
          <w:ilvl w:val="0"/>
          <w:numId w:val="2"/>
        </w:numPr>
      </w:pPr>
      <w:r w:rsidRPr="00383305">
        <w:t>Порушення права на захист розглядається як порушення презумпції невинуватості обвинуваченого.</w:t>
      </w:r>
    </w:p>
    <w:p w:rsidR="008A24DD" w:rsidRPr="00DA6DA0" w:rsidRDefault="008A24DD" w:rsidP="008A24DD">
      <w:pPr>
        <w:pStyle w:val="03"/>
        <w:numPr>
          <w:ilvl w:val="0"/>
          <w:numId w:val="2"/>
        </w:numPr>
      </w:pPr>
      <w:r w:rsidRPr="00383305">
        <w:t xml:space="preserve">Забороняється оголошувати обвинуваченого, будь-яку особу, яка притягується до кримінальної відповідальності, винуватим, ставитись до </w:t>
      </w:r>
      <w:r w:rsidRPr="00DA6DA0">
        <w:t>нього як до злочинця.</w:t>
      </w:r>
    </w:p>
    <w:p w:rsidR="008A24DD" w:rsidRPr="00DA6DA0" w:rsidRDefault="008A24DD" w:rsidP="008A24DD">
      <w:pPr>
        <w:pStyle w:val="03"/>
        <w:numPr>
          <w:ilvl w:val="0"/>
          <w:numId w:val="2"/>
        </w:numPr>
      </w:pPr>
      <w:r w:rsidRPr="00DA6DA0">
        <w:t>Підозри й обвинувачення в учиненні кримінального правопорушення можливі тільки до винесення остаточного рішення у справі, після постановлення виправдувального вироку вони недопустимі.</w:t>
      </w:r>
    </w:p>
    <w:p w:rsidR="008A24DD" w:rsidRPr="00DA6DA0" w:rsidRDefault="008A24DD" w:rsidP="008A24DD">
      <w:pPr>
        <w:pStyle w:val="03"/>
        <w:numPr>
          <w:ilvl w:val="0"/>
          <w:numId w:val="2"/>
        </w:numPr>
      </w:pPr>
      <w:r w:rsidRPr="00DA6DA0">
        <w:t>Тлумачення сумнівів на користь обвинуваченого є однією з форм реалізації презумпції</w:t>
      </w:r>
    </w:p>
    <w:p w:rsidR="008A24DD" w:rsidRPr="00DA6DA0" w:rsidRDefault="008A24DD" w:rsidP="008A24DD">
      <w:pPr>
        <w:pStyle w:val="04"/>
        <w:rPr>
          <w:lang w:val="uk-UA"/>
        </w:rPr>
      </w:pPr>
      <w:r w:rsidRPr="00DA6DA0">
        <w:rPr>
          <w:lang w:val="uk-UA"/>
        </w:rPr>
        <w:t>Список використаних джерел:</w:t>
      </w:r>
    </w:p>
    <w:p w:rsidR="008A24DD" w:rsidRPr="00DA6DA0" w:rsidRDefault="008A24DD" w:rsidP="008A24DD">
      <w:pPr>
        <w:pStyle w:val="05"/>
        <w:numPr>
          <w:ilvl w:val="0"/>
          <w:numId w:val="3"/>
        </w:numPr>
      </w:pPr>
      <w:proofErr w:type="spellStart"/>
      <w:r w:rsidRPr="00DA6DA0">
        <w:t>Аношина</w:t>
      </w:r>
      <w:proofErr w:type="spellEnd"/>
      <w:r w:rsidRPr="00DA6DA0">
        <w:t xml:space="preserve"> Н. Ю. Презумпція невинуватості в сенсі статі 6 конвенції про захист прав людини і основоположних свобод та практики європейського суду з прав людини [Електронний ресурс] / Наталія-Тереза Юріївна </w:t>
      </w:r>
      <w:proofErr w:type="spellStart"/>
      <w:r w:rsidRPr="00DA6DA0">
        <w:t>Аношина</w:t>
      </w:r>
      <w:proofErr w:type="spellEnd"/>
      <w:r w:rsidRPr="00DA6DA0">
        <w:t> // Міністерства юстиції України.</w:t>
      </w:r>
      <w:r>
        <w:t xml:space="preserve"> – </w:t>
      </w:r>
      <w:r w:rsidRPr="00DA6DA0">
        <w:t>2018.</w:t>
      </w:r>
      <w:r>
        <w:t xml:space="preserve"> – </w:t>
      </w:r>
      <w:r w:rsidRPr="00DA6DA0">
        <w:t>Режим доступу до ресурсу: https://minjust.gov.ua/m/str_7475.</w:t>
      </w:r>
    </w:p>
    <w:p w:rsidR="008A24DD" w:rsidRPr="00383305" w:rsidRDefault="008A24DD" w:rsidP="008A24DD">
      <w:pPr>
        <w:pStyle w:val="05"/>
      </w:pPr>
      <w:r w:rsidRPr="00DA6DA0">
        <w:t xml:space="preserve">Що таке торгівля людьми [Електронний ресурс] // </w:t>
      </w:r>
      <w:proofErr w:type="spellStart"/>
      <w:r w:rsidRPr="00DA6DA0">
        <w:t>ГО</w:t>
      </w:r>
      <w:proofErr w:type="spellEnd"/>
      <w:r w:rsidRPr="00DA6DA0">
        <w:t xml:space="preserve"> </w:t>
      </w:r>
      <w:proofErr w:type="spellStart"/>
      <w:r w:rsidRPr="00DA6DA0">
        <w:t>Ла</w:t>
      </w:r>
      <w:proofErr w:type="spellEnd"/>
      <w:r w:rsidRPr="00DA6DA0">
        <w:t xml:space="preserve"> Страда</w:t>
      </w:r>
      <w:r>
        <w:t xml:space="preserve"> – </w:t>
      </w:r>
      <w:r w:rsidRPr="00DA6DA0">
        <w:t>Україна.</w:t>
      </w:r>
      <w:r>
        <w:t xml:space="preserve"> – </w:t>
      </w:r>
      <w:r w:rsidRPr="00DA6DA0">
        <w:t>2018.</w:t>
      </w:r>
      <w:r>
        <w:t xml:space="preserve"> – </w:t>
      </w:r>
      <w:r w:rsidRPr="00DA6DA0">
        <w:t>Режим</w:t>
      </w:r>
      <w:r w:rsidRPr="00383305">
        <w:t xml:space="preserve"> доступу до ресурсу: https://minjust.gov.ua/m/str_7475.</w:t>
      </w:r>
    </w:p>
    <w:p w:rsidR="0099575E" w:rsidRDefault="0099575E">
      <w:bookmarkStart w:id="3" w:name="_GoBack"/>
      <w:bookmarkEnd w:id="3"/>
    </w:p>
    <w:sectPr w:rsidR="009957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B364C"/>
    <w:multiLevelType w:val="hybridMultilevel"/>
    <w:tmpl w:val="8D1276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2C4062"/>
    <w:multiLevelType w:val="hybridMultilevel"/>
    <w:tmpl w:val="290622C8"/>
    <w:lvl w:ilvl="0" w:tplc="987A11D0">
      <w:start w:val="1"/>
      <w:numFmt w:val="decimal"/>
      <w:pStyle w:val="05"/>
      <w:lvlText w:val="%1."/>
      <w:lvlJc w:val="left"/>
      <w:pPr>
        <w:ind w:left="360" w:hanging="360"/>
      </w:pPr>
      <w:rPr>
        <w:b w:val="0"/>
        <w:bCs w:val="0"/>
        <w:lang w:val="uk-UA"/>
      </w:rPr>
    </w:lvl>
    <w:lvl w:ilvl="1" w:tplc="04220019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F0"/>
    <w:rsid w:val="00450EF0"/>
    <w:rsid w:val="008A24DD"/>
    <w:rsid w:val="0099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24DD"/>
    <w:rPr>
      <w:color w:val="0000FF"/>
      <w:u w:val="single"/>
    </w:rPr>
  </w:style>
  <w:style w:type="paragraph" w:customStyle="1" w:styleId="01">
    <w:name w:val="01 Заголовок"/>
    <w:basedOn w:val="a"/>
    <w:link w:val="010"/>
    <w:qFormat/>
    <w:rsid w:val="008A24DD"/>
    <w:pPr>
      <w:keepNext/>
      <w:spacing w:after="0"/>
      <w:jc w:val="center"/>
    </w:pPr>
    <w:rPr>
      <w:rFonts w:ascii="Arial" w:eastAsia="Calibri" w:hAnsi="Arial" w:cs="Times New Roman"/>
      <w:b/>
      <w:lang w:val="x-none"/>
    </w:rPr>
  </w:style>
  <w:style w:type="paragraph" w:customStyle="1" w:styleId="02">
    <w:name w:val="02 Автор"/>
    <w:basedOn w:val="a"/>
    <w:link w:val="020"/>
    <w:qFormat/>
    <w:rsid w:val="008A24DD"/>
    <w:pPr>
      <w:keepNext/>
      <w:spacing w:before="240" w:after="240"/>
    </w:pPr>
    <w:rPr>
      <w:rFonts w:ascii="Arial" w:eastAsia="Calibri" w:hAnsi="Arial" w:cs="Times New Roman"/>
      <w:i/>
      <w:sz w:val="20"/>
    </w:rPr>
  </w:style>
  <w:style w:type="character" w:customStyle="1" w:styleId="010">
    <w:name w:val="01 Заголовок Знак"/>
    <w:link w:val="01"/>
    <w:rsid w:val="008A24DD"/>
    <w:rPr>
      <w:rFonts w:ascii="Arial" w:eastAsia="Calibri" w:hAnsi="Arial" w:cs="Times New Roman"/>
      <w:b/>
      <w:lang w:val="x-none"/>
    </w:rPr>
  </w:style>
  <w:style w:type="paragraph" w:customStyle="1" w:styleId="03">
    <w:name w:val="03 Текст"/>
    <w:basedOn w:val="a"/>
    <w:link w:val="030"/>
    <w:qFormat/>
    <w:rsid w:val="008A24DD"/>
    <w:pPr>
      <w:spacing w:after="0" w:line="214" w:lineRule="auto"/>
      <w:ind w:firstLine="397"/>
      <w:jc w:val="both"/>
    </w:pPr>
    <w:rPr>
      <w:rFonts w:ascii="Times New Roman" w:eastAsia="Calibri" w:hAnsi="Times New Roman" w:cs="Times New Roman"/>
    </w:rPr>
  </w:style>
  <w:style w:type="character" w:customStyle="1" w:styleId="020">
    <w:name w:val="02 Автор Знак"/>
    <w:link w:val="02"/>
    <w:rsid w:val="008A24DD"/>
    <w:rPr>
      <w:rFonts w:ascii="Arial" w:eastAsia="Calibri" w:hAnsi="Arial" w:cs="Times New Roman"/>
      <w:i/>
      <w:sz w:val="20"/>
    </w:rPr>
  </w:style>
  <w:style w:type="paragraph" w:customStyle="1" w:styleId="04">
    <w:name w:val="04 Список джерел"/>
    <w:basedOn w:val="03"/>
    <w:link w:val="040"/>
    <w:qFormat/>
    <w:rsid w:val="008A24DD"/>
    <w:pPr>
      <w:keepNext/>
      <w:spacing w:before="120" w:after="120"/>
      <w:ind w:firstLine="0"/>
      <w:jc w:val="center"/>
    </w:pPr>
    <w:rPr>
      <w:b/>
      <w:lang w:val="x-none"/>
    </w:rPr>
  </w:style>
  <w:style w:type="character" w:customStyle="1" w:styleId="030">
    <w:name w:val="03 Текст Знак"/>
    <w:link w:val="03"/>
    <w:rsid w:val="008A24DD"/>
    <w:rPr>
      <w:rFonts w:ascii="Times New Roman" w:eastAsia="Calibri" w:hAnsi="Times New Roman" w:cs="Times New Roman"/>
    </w:rPr>
  </w:style>
  <w:style w:type="paragraph" w:customStyle="1" w:styleId="05">
    <w:name w:val="05 Список"/>
    <w:basedOn w:val="03"/>
    <w:link w:val="050"/>
    <w:qFormat/>
    <w:rsid w:val="008A24DD"/>
    <w:pPr>
      <w:numPr>
        <w:numId w:val="1"/>
      </w:numPr>
    </w:pPr>
  </w:style>
  <w:style w:type="character" w:customStyle="1" w:styleId="040">
    <w:name w:val="04 Список джерел Знак"/>
    <w:link w:val="04"/>
    <w:rsid w:val="008A24DD"/>
    <w:rPr>
      <w:rFonts w:ascii="Times New Roman" w:eastAsia="Calibri" w:hAnsi="Times New Roman" w:cs="Times New Roman"/>
      <w:b/>
      <w:lang w:val="x-none"/>
    </w:rPr>
  </w:style>
  <w:style w:type="character" w:customStyle="1" w:styleId="050">
    <w:name w:val="05 Список Знак"/>
    <w:link w:val="05"/>
    <w:rsid w:val="008A24DD"/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A24DD"/>
    <w:rPr>
      <w:color w:val="0000FF"/>
      <w:u w:val="single"/>
    </w:rPr>
  </w:style>
  <w:style w:type="paragraph" w:customStyle="1" w:styleId="01">
    <w:name w:val="01 Заголовок"/>
    <w:basedOn w:val="a"/>
    <w:link w:val="010"/>
    <w:qFormat/>
    <w:rsid w:val="008A24DD"/>
    <w:pPr>
      <w:keepNext/>
      <w:spacing w:after="0"/>
      <w:jc w:val="center"/>
    </w:pPr>
    <w:rPr>
      <w:rFonts w:ascii="Arial" w:eastAsia="Calibri" w:hAnsi="Arial" w:cs="Times New Roman"/>
      <w:b/>
      <w:lang w:val="x-none"/>
    </w:rPr>
  </w:style>
  <w:style w:type="paragraph" w:customStyle="1" w:styleId="02">
    <w:name w:val="02 Автор"/>
    <w:basedOn w:val="a"/>
    <w:link w:val="020"/>
    <w:qFormat/>
    <w:rsid w:val="008A24DD"/>
    <w:pPr>
      <w:keepNext/>
      <w:spacing w:before="240" w:after="240"/>
    </w:pPr>
    <w:rPr>
      <w:rFonts w:ascii="Arial" w:eastAsia="Calibri" w:hAnsi="Arial" w:cs="Times New Roman"/>
      <w:i/>
      <w:sz w:val="20"/>
    </w:rPr>
  </w:style>
  <w:style w:type="character" w:customStyle="1" w:styleId="010">
    <w:name w:val="01 Заголовок Знак"/>
    <w:link w:val="01"/>
    <w:rsid w:val="008A24DD"/>
    <w:rPr>
      <w:rFonts w:ascii="Arial" w:eastAsia="Calibri" w:hAnsi="Arial" w:cs="Times New Roman"/>
      <w:b/>
      <w:lang w:val="x-none"/>
    </w:rPr>
  </w:style>
  <w:style w:type="paragraph" w:customStyle="1" w:styleId="03">
    <w:name w:val="03 Текст"/>
    <w:basedOn w:val="a"/>
    <w:link w:val="030"/>
    <w:qFormat/>
    <w:rsid w:val="008A24DD"/>
    <w:pPr>
      <w:spacing w:after="0" w:line="214" w:lineRule="auto"/>
      <w:ind w:firstLine="397"/>
      <w:jc w:val="both"/>
    </w:pPr>
    <w:rPr>
      <w:rFonts w:ascii="Times New Roman" w:eastAsia="Calibri" w:hAnsi="Times New Roman" w:cs="Times New Roman"/>
    </w:rPr>
  </w:style>
  <w:style w:type="character" w:customStyle="1" w:styleId="020">
    <w:name w:val="02 Автор Знак"/>
    <w:link w:val="02"/>
    <w:rsid w:val="008A24DD"/>
    <w:rPr>
      <w:rFonts w:ascii="Arial" w:eastAsia="Calibri" w:hAnsi="Arial" w:cs="Times New Roman"/>
      <w:i/>
      <w:sz w:val="20"/>
    </w:rPr>
  </w:style>
  <w:style w:type="paragraph" w:customStyle="1" w:styleId="04">
    <w:name w:val="04 Список джерел"/>
    <w:basedOn w:val="03"/>
    <w:link w:val="040"/>
    <w:qFormat/>
    <w:rsid w:val="008A24DD"/>
    <w:pPr>
      <w:keepNext/>
      <w:spacing w:before="120" w:after="120"/>
      <w:ind w:firstLine="0"/>
      <w:jc w:val="center"/>
    </w:pPr>
    <w:rPr>
      <w:b/>
      <w:lang w:val="x-none"/>
    </w:rPr>
  </w:style>
  <w:style w:type="character" w:customStyle="1" w:styleId="030">
    <w:name w:val="03 Текст Знак"/>
    <w:link w:val="03"/>
    <w:rsid w:val="008A24DD"/>
    <w:rPr>
      <w:rFonts w:ascii="Times New Roman" w:eastAsia="Calibri" w:hAnsi="Times New Roman" w:cs="Times New Roman"/>
    </w:rPr>
  </w:style>
  <w:style w:type="paragraph" w:customStyle="1" w:styleId="05">
    <w:name w:val="05 Список"/>
    <w:basedOn w:val="03"/>
    <w:link w:val="050"/>
    <w:qFormat/>
    <w:rsid w:val="008A24DD"/>
    <w:pPr>
      <w:numPr>
        <w:numId w:val="1"/>
      </w:numPr>
    </w:pPr>
  </w:style>
  <w:style w:type="character" w:customStyle="1" w:styleId="040">
    <w:name w:val="04 Список джерел Знак"/>
    <w:link w:val="04"/>
    <w:rsid w:val="008A24DD"/>
    <w:rPr>
      <w:rFonts w:ascii="Times New Roman" w:eastAsia="Calibri" w:hAnsi="Times New Roman" w:cs="Times New Roman"/>
      <w:b/>
      <w:lang w:val="x-none"/>
    </w:rPr>
  </w:style>
  <w:style w:type="character" w:customStyle="1" w:styleId="050">
    <w:name w:val="05 Список Знак"/>
    <w:link w:val="05"/>
    <w:rsid w:val="008A24DD"/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2640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salo1263</dc:creator>
  <cp:lastModifiedBy>salo1263</cp:lastModifiedBy>
  <cp:revision>2</cp:revision>
  <cp:lastPrinted>2020-11-17T09:04:00Z</cp:lastPrinted>
  <dcterms:created xsi:type="dcterms:W3CDTF">2020-11-17T09:03:00Z</dcterms:created>
  <dcterms:modified xsi:type="dcterms:W3CDTF">2020-11-17T09:04:00Z</dcterms:modified>
</cp:coreProperties>
</file>